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ind w:left="0"/>
        <w:jc w:val="center"/>
        <w:rPr>
          <w:rFonts w:hint="eastAsia" w:ascii="仿宋" w:hAnsi="仿宋" w:eastAsia="仿宋" w:cs="仿宋"/>
          <w:sz w:val="144"/>
          <w:szCs w:val="48"/>
        </w:rPr>
      </w:pPr>
      <w:r>
        <w:rPr>
          <w:rFonts w:hint="eastAsia" w:ascii="仿宋" w:hAnsi="仿宋" w:eastAsia="仿宋" w:cs="仿宋"/>
          <w:sz w:val="144"/>
          <w:szCs w:val="48"/>
        </w:rPr>
        <w:t>竞争性比选</w:t>
      </w:r>
    </w:p>
    <w:p>
      <w:pPr>
        <w:pStyle w:val="7"/>
        <w:spacing w:line="240" w:lineRule="auto"/>
        <w:ind w:left="0"/>
        <w:jc w:val="center"/>
        <w:rPr>
          <w:rFonts w:hint="eastAsia" w:ascii="仿宋" w:hAnsi="仿宋" w:eastAsia="仿宋" w:cs="仿宋"/>
          <w:sz w:val="144"/>
          <w:szCs w:val="48"/>
          <w:lang w:val="en-US" w:eastAsia="zh-CN"/>
        </w:rPr>
      </w:pPr>
      <w:r>
        <w:rPr>
          <w:rFonts w:hint="eastAsia" w:ascii="仿宋" w:hAnsi="仿宋" w:eastAsia="仿宋" w:cs="仿宋"/>
          <w:sz w:val="144"/>
          <w:szCs w:val="48"/>
          <w:lang w:val="en-US" w:eastAsia="zh-CN"/>
        </w:rPr>
        <w:t>采购文件</w:t>
      </w:r>
    </w:p>
    <w:p>
      <w:pPr>
        <w:spacing w:line="700" w:lineRule="exact"/>
        <w:jc w:val="center"/>
        <w:rPr>
          <w:rFonts w:hint="eastAsia" w:ascii="微软雅黑" w:hAnsi="微软雅黑" w:eastAsia="微软雅黑" w:cs="微软雅黑"/>
          <w:sz w:val="32"/>
        </w:rPr>
      </w:pPr>
    </w:p>
    <w:p>
      <w:pPr>
        <w:spacing w:line="700" w:lineRule="exact"/>
        <w:rPr>
          <w:rFonts w:hint="eastAsia" w:ascii="微软雅黑" w:hAnsi="微软雅黑" w:eastAsia="微软雅黑" w:cs="微软雅黑"/>
          <w:sz w:val="36"/>
          <w:szCs w:val="30"/>
        </w:rPr>
      </w:pPr>
      <w:r>
        <w:rPr>
          <w:rFonts w:hint="eastAsia" w:ascii="微软雅黑" w:hAnsi="微软雅黑" w:eastAsia="微软雅黑" w:cs="微软雅黑"/>
          <w:sz w:val="36"/>
          <w:szCs w:val="30"/>
        </w:rPr>
        <w:t xml:space="preserve"> </w:t>
      </w:r>
    </w:p>
    <w:p>
      <w:pPr>
        <w:ind w:left="1600" w:hanging="1600" w:hangingChars="5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Hans"/>
        </w:rPr>
        <w:t>项目名称</w:t>
      </w:r>
      <w:r>
        <w:rPr>
          <w:rFonts w:hint="eastAsia" w:ascii="仿宋" w:hAnsi="仿宋" w:eastAsia="仿宋" w:cs="Times New Roman"/>
          <w:b w:val="0"/>
          <w:bCs w:val="0"/>
          <w:color w:val="auto"/>
          <w:sz w:val="32"/>
          <w:szCs w:val="32"/>
          <w:lang w:eastAsia="zh-Hans"/>
        </w:rPr>
        <w:t>：</w:t>
      </w:r>
      <w:r>
        <w:rPr>
          <w:rFonts w:hint="eastAsia" w:ascii="仿宋" w:hAnsi="仿宋" w:eastAsia="仿宋" w:cs="Times New Roman"/>
          <w:b w:val="0"/>
          <w:bCs w:val="0"/>
          <w:color w:val="auto"/>
          <w:sz w:val="32"/>
          <w:szCs w:val="32"/>
          <w:lang w:val="en-US" w:eastAsia="zh-CN"/>
        </w:rPr>
        <w:t>2023中国国际智能产业博览会重大项目集中签约活动宣传服务</w:t>
      </w:r>
    </w:p>
    <w:p>
      <w:pPr>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项目编号：YC-C-20230033</w:t>
      </w:r>
    </w:p>
    <w:p>
      <w:pPr>
        <w:spacing w:line="700" w:lineRule="exact"/>
        <w:ind w:firstLine="1749" w:firstLineChars="486"/>
        <w:rPr>
          <w:rFonts w:hint="eastAsia" w:ascii="微软雅黑" w:hAnsi="微软雅黑" w:eastAsia="微软雅黑" w:cs="微软雅黑"/>
          <w:sz w:val="36"/>
          <w:szCs w:val="30"/>
        </w:rPr>
      </w:pPr>
    </w:p>
    <w:p>
      <w:pPr>
        <w:spacing w:line="700" w:lineRule="exact"/>
        <w:jc w:val="center"/>
        <w:rPr>
          <w:rFonts w:hint="eastAsia" w:ascii="微软雅黑" w:hAnsi="微软雅黑" w:eastAsia="微软雅黑" w:cs="微软雅黑"/>
          <w:b/>
          <w:sz w:val="30"/>
          <w:szCs w:val="30"/>
        </w:rPr>
      </w:pPr>
    </w:p>
    <w:p>
      <w:pPr>
        <w:spacing w:line="700" w:lineRule="exact"/>
        <w:jc w:val="center"/>
        <w:rPr>
          <w:rFonts w:hint="eastAsia" w:ascii="微软雅黑" w:hAnsi="微软雅黑" w:eastAsia="微软雅黑" w:cs="微软雅黑"/>
          <w:b/>
          <w:sz w:val="30"/>
          <w:szCs w:val="30"/>
        </w:rPr>
      </w:pPr>
    </w:p>
    <w:p>
      <w:pPr>
        <w:spacing w:line="700" w:lineRule="exact"/>
        <w:ind w:firstLine="0" w:firstLineChars="0"/>
        <w:jc w:val="center"/>
        <w:rPr>
          <w:rFonts w:hint="eastAsia" w:ascii="微软雅黑" w:hAnsi="微软雅黑" w:eastAsia="微软雅黑" w:cs="微软雅黑"/>
          <w:b/>
          <w:sz w:val="44"/>
          <w:szCs w:val="44"/>
        </w:rPr>
      </w:pPr>
      <w:r>
        <w:rPr>
          <w:rFonts w:hint="eastAsia" w:ascii="微软雅黑" w:hAnsi="微软雅黑" w:eastAsia="微软雅黑" w:cs="微软雅黑"/>
          <w:sz w:val="44"/>
          <w:szCs w:val="44"/>
        </w:rPr>
        <w:t>采购人：重庆市会展服务中心</w:t>
      </w:r>
    </w:p>
    <w:p>
      <w:pPr>
        <w:spacing w:line="240" w:lineRule="auto"/>
        <w:jc w:val="center"/>
        <w:outlineLvl w:val="9"/>
        <w:rPr>
          <w:rFonts w:hint="eastAsia" w:ascii="微软雅黑" w:hAnsi="微软雅黑" w:eastAsia="微软雅黑" w:cs="微软雅黑"/>
          <w:sz w:val="44"/>
          <w:szCs w:val="44"/>
        </w:rPr>
      </w:pPr>
      <w:r>
        <w:rPr>
          <w:rFonts w:hint="eastAsia" w:ascii="微软雅黑" w:hAnsi="微软雅黑" w:eastAsia="微软雅黑" w:cs="微软雅黑"/>
          <w:sz w:val="44"/>
          <w:szCs w:val="44"/>
        </w:rPr>
        <w:t>二〇二</w:t>
      </w:r>
      <w:r>
        <w:rPr>
          <w:rFonts w:hint="eastAsia" w:ascii="微软雅黑" w:hAnsi="微软雅黑" w:eastAsia="微软雅黑" w:cs="微软雅黑"/>
          <w:sz w:val="44"/>
          <w:szCs w:val="44"/>
          <w:lang w:eastAsia="zh-CN"/>
        </w:rPr>
        <w:t>三</w:t>
      </w:r>
      <w:r>
        <w:rPr>
          <w:rFonts w:hint="eastAsia" w:ascii="微软雅黑" w:hAnsi="微软雅黑" w:eastAsia="微软雅黑" w:cs="微软雅黑"/>
          <w:sz w:val="44"/>
          <w:szCs w:val="44"/>
        </w:rPr>
        <w:t>年</w:t>
      </w:r>
      <w:r>
        <w:rPr>
          <w:rFonts w:hint="eastAsia" w:ascii="微软雅黑" w:hAnsi="微软雅黑" w:eastAsia="微软雅黑" w:cs="微软雅黑"/>
          <w:sz w:val="44"/>
          <w:szCs w:val="44"/>
          <w:lang w:eastAsia="zh-CN"/>
        </w:rPr>
        <w:t>八</w:t>
      </w:r>
      <w:r>
        <w:rPr>
          <w:rFonts w:hint="eastAsia" w:ascii="微软雅黑" w:hAnsi="微软雅黑" w:eastAsia="微软雅黑" w:cs="微软雅黑"/>
          <w:sz w:val="44"/>
          <w:szCs w:val="44"/>
        </w:rPr>
        <w:t>月</w:t>
      </w:r>
    </w:p>
    <w:p>
      <w:pPr>
        <w:spacing w:line="480" w:lineRule="exact"/>
        <w:jc w:val="center"/>
        <w:outlineLvl w:val="0"/>
        <w:rPr>
          <w:rFonts w:hint="eastAsia" w:ascii="微软雅黑" w:hAnsi="微软雅黑" w:eastAsia="微软雅黑" w:cs="微软雅黑"/>
          <w:sz w:val="44"/>
          <w:szCs w:val="28"/>
        </w:rPr>
      </w:pPr>
      <w:r>
        <w:rPr>
          <w:rFonts w:hint="eastAsia" w:ascii="微软雅黑" w:hAnsi="微软雅黑" w:eastAsia="微软雅黑" w:cs="微软雅黑"/>
          <w:sz w:val="44"/>
          <w:szCs w:val="28"/>
        </w:rPr>
        <w:br w:type="page"/>
      </w:r>
      <w:r>
        <w:rPr>
          <w:rFonts w:hint="eastAsia" w:ascii="微软雅黑" w:hAnsi="微软雅黑" w:eastAsia="微软雅黑" w:cs="微软雅黑"/>
          <w:sz w:val="44"/>
          <w:szCs w:val="28"/>
        </w:rPr>
        <w:t>目   录</w:t>
      </w:r>
    </w:p>
    <w:p>
      <w:pPr>
        <w:pStyle w:val="14"/>
        <w:tabs>
          <w:tab w:val="right" w:leader="dot" w:pos="9412"/>
        </w:tabs>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TOC \o "1-3" \h \z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_Toc29354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第一篇  采购</w:t>
      </w:r>
      <w:r>
        <w:rPr>
          <w:rFonts w:hint="eastAsia" w:ascii="微软雅黑" w:hAnsi="微软雅黑" w:eastAsia="微软雅黑" w:cs="微软雅黑"/>
          <w:szCs w:val="30"/>
          <w:lang w:eastAsia="zh-CN"/>
        </w:rPr>
        <w:t>公告</w:t>
      </w:r>
      <w:r>
        <w:tab/>
      </w:r>
      <w:r>
        <w:fldChar w:fldCharType="begin"/>
      </w:r>
      <w:r>
        <w:instrText xml:space="preserve"> PAGEREF _Toc29354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_Toc21121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一、竞争性</w:t>
      </w:r>
      <w:r>
        <w:rPr>
          <w:rFonts w:hint="eastAsia" w:ascii="微软雅黑" w:hAnsi="微软雅黑" w:eastAsia="微软雅黑" w:cs="微软雅黑"/>
          <w:szCs w:val="24"/>
          <w:highlight w:val="none"/>
          <w:lang w:eastAsia="zh-CN"/>
        </w:rPr>
        <w:t>比选</w:t>
      </w:r>
      <w:r>
        <w:rPr>
          <w:rFonts w:hint="eastAsia" w:ascii="微软雅黑" w:hAnsi="微软雅黑" w:eastAsia="微软雅黑" w:cs="微软雅黑"/>
          <w:szCs w:val="24"/>
          <w:highlight w:val="none"/>
        </w:rPr>
        <w:t>内容</w:t>
      </w:r>
      <w:r>
        <w:tab/>
      </w:r>
      <w:r>
        <w:fldChar w:fldCharType="begin"/>
      </w:r>
      <w:r>
        <w:instrText xml:space="preserve"> PAGEREF _Toc21121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_Toc25484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二、资金来源</w:t>
      </w:r>
      <w:r>
        <w:tab/>
      </w:r>
      <w:r>
        <w:fldChar w:fldCharType="begin"/>
      </w:r>
      <w:r>
        <w:instrText xml:space="preserve"> PAGEREF _Toc25484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_Toc6887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三、供应商资格条件</w:t>
      </w:r>
      <w:r>
        <w:tab/>
      </w:r>
      <w:r>
        <w:fldChar w:fldCharType="begin"/>
      </w:r>
      <w:r>
        <w:instrText xml:space="preserve"> PAGEREF _Toc6887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四、竞争性比选有关说明</w:t>
      </w:r>
      <w:r>
        <w:tab/>
      </w:r>
      <w:r>
        <w:fldChar w:fldCharType="begin"/>
      </w:r>
      <w:r>
        <w:instrText xml:space="preserve"> PAGEREF _Toc208 \h </w:instrText>
      </w:r>
      <w:r>
        <w:fldChar w:fldCharType="separate"/>
      </w:r>
      <w:r>
        <w:t>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_Toc2258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lang w:val="en-US" w:eastAsia="zh-CN"/>
        </w:rPr>
        <w:t>五</w:t>
      </w:r>
      <w:r>
        <w:rPr>
          <w:rFonts w:hint="eastAsia" w:ascii="微软雅黑" w:hAnsi="微软雅黑" w:eastAsia="微软雅黑" w:cs="微软雅黑"/>
          <w:szCs w:val="24"/>
          <w:highlight w:val="none"/>
        </w:rPr>
        <w:t>、投标保证金</w:t>
      </w:r>
      <w:r>
        <w:tab/>
      </w:r>
      <w:r>
        <w:fldChar w:fldCharType="begin"/>
      </w:r>
      <w:r>
        <w:instrText xml:space="preserve"> PAGEREF _Toc2258 \h </w:instrText>
      </w:r>
      <w:r>
        <w:fldChar w:fldCharType="separate"/>
      </w:r>
      <w:r>
        <w:t>5</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_Toc27269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lang w:eastAsia="zh-CN"/>
        </w:rPr>
        <w:t>无</w:t>
      </w:r>
      <w:r>
        <w:tab/>
      </w:r>
      <w:r>
        <w:fldChar w:fldCharType="begin"/>
      </w:r>
      <w:r>
        <w:instrText xml:space="preserve"> PAGEREF _Toc27269 \h </w:instrText>
      </w:r>
      <w:r>
        <w:fldChar w:fldCharType="separate"/>
      </w:r>
      <w:r>
        <w:t>5</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_Toc9074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lang w:eastAsia="zh-CN"/>
        </w:rPr>
        <w:t>六、竞争性比选</w:t>
      </w:r>
      <w:r>
        <w:rPr>
          <w:rFonts w:hint="eastAsia" w:ascii="微软雅黑" w:hAnsi="微软雅黑" w:eastAsia="微软雅黑" w:cs="微软雅黑"/>
          <w:szCs w:val="24"/>
          <w:highlight w:val="none"/>
        </w:rPr>
        <w:t>其它有关规定</w:t>
      </w:r>
      <w:r>
        <w:tab/>
      </w:r>
      <w:r>
        <w:fldChar w:fldCharType="begin"/>
      </w:r>
      <w:r>
        <w:instrText xml:space="preserve"> PAGEREF _Toc9074 \h </w:instrText>
      </w:r>
      <w:r>
        <w:fldChar w:fldCharType="separate"/>
      </w:r>
      <w:r>
        <w:t>5</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_Toc15629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七、联系方式</w:t>
      </w:r>
      <w:r>
        <w:tab/>
      </w:r>
      <w:r>
        <w:fldChar w:fldCharType="begin"/>
      </w:r>
      <w:r>
        <w:instrText xml:space="preserve"> PAGEREF _Toc15629 \h </w:instrText>
      </w:r>
      <w:r>
        <w:fldChar w:fldCharType="separate"/>
      </w:r>
      <w:r>
        <w:t>5</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_Toc18377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highlight w:val="none"/>
        </w:rPr>
        <w:t>第二篇  项目服务需求</w:t>
      </w:r>
      <w:r>
        <w:tab/>
      </w:r>
      <w:r>
        <w:fldChar w:fldCharType="begin"/>
      </w:r>
      <w:r>
        <w:instrText xml:space="preserve"> PAGEREF _Toc18377 \h </w:instrText>
      </w:r>
      <w:r>
        <w:fldChar w:fldCharType="separate"/>
      </w:r>
      <w:r>
        <w:t>7</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_Toc29410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highlight w:val="none"/>
        </w:rPr>
        <w:t>第三篇  项目商务需求</w:t>
      </w:r>
      <w:r>
        <w:tab/>
      </w:r>
      <w:r>
        <w:fldChar w:fldCharType="begin"/>
      </w:r>
      <w:r>
        <w:instrText xml:space="preserve"> PAGEREF _Toc29410 \h </w:instrText>
      </w:r>
      <w:r>
        <w:fldChar w:fldCharType="separate"/>
      </w:r>
      <w:r>
        <w:t>8</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_Toc23008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highlight w:val="none"/>
        </w:rPr>
        <w:t xml:space="preserve">第四篇  </w:t>
      </w:r>
      <w:r>
        <w:rPr>
          <w:rFonts w:hint="eastAsia" w:ascii="微软雅黑" w:hAnsi="微软雅黑" w:eastAsia="微软雅黑" w:cs="微软雅黑"/>
          <w:szCs w:val="30"/>
          <w:highlight w:val="none"/>
          <w:lang w:eastAsia="zh-CN"/>
        </w:rPr>
        <w:t>比选</w:t>
      </w:r>
      <w:r>
        <w:rPr>
          <w:rFonts w:hint="eastAsia" w:ascii="微软雅黑" w:hAnsi="微软雅黑" w:eastAsia="微软雅黑" w:cs="微软雅黑"/>
          <w:szCs w:val="30"/>
          <w:highlight w:val="none"/>
        </w:rPr>
        <w:t>程序及方法、评审标准、无效响应和</w:t>
      </w:r>
      <w:r>
        <w:rPr>
          <w:rFonts w:hint="eastAsia" w:ascii="微软雅黑" w:hAnsi="微软雅黑" w:eastAsia="微软雅黑" w:cs="微软雅黑"/>
          <w:szCs w:val="36"/>
          <w:highlight w:val="none"/>
        </w:rPr>
        <w:t>采购终止</w:t>
      </w:r>
      <w:r>
        <w:tab/>
      </w:r>
      <w:r>
        <w:fldChar w:fldCharType="begin"/>
      </w:r>
      <w:r>
        <w:instrText xml:space="preserve"> PAGEREF _Toc23008 \h </w:instrText>
      </w:r>
      <w:r>
        <w:fldChar w:fldCharType="separate"/>
      </w:r>
      <w:r>
        <w:t>9</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_Toc19831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二、评审标准</w:t>
      </w:r>
      <w:r>
        <w:tab/>
      </w:r>
      <w:r>
        <w:fldChar w:fldCharType="begin"/>
      </w:r>
      <w:r>
        <w:instrText xml:space="preserve"> PAGEREF _Toc19831 \h </w:instrText>
      </w:r>
      <w:r>
        <w:fldChar w:fldCharType="separate"/>
      </w:r>
      <w:r>
        <w:t>11</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_Toc5289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三、无效响应</w:t>
      </w:r>
      <w:r>
        <w:tab/>
      </w:r>
      <w:r>
        <w:fldChar w:fldCharType="begin"/>
      </w:r>
      <w:r>
        <w:instrText xml:space="preserve"> PAGEREF _Toc5289 \h </w:instrText>
      </w:r>
      <w:r>
        <w:fldChar w:fldCharType="separate"/>
      </w:r>
      <w:r>
        <w:t>12</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_Toc17951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四、采购终止</w:t>
      </w:r>
      <w:r>
        <w:tab/>
      </w:r>
      <w:r>
        <w:fldChar w:fldCharType="begin"/>
      </w:r>
      <w:r>
        <w:instrText xml:space="preserve"> PAGEREF _Toc17951 \h </w:instrText>
      </w:r>
      <w:r>
        <w:fldChar w:fldCharType="separate"/>
      </w:r>
      <w:r>
        <w:t>12</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_Toc5577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第五篇  供应商须知</w:t>
      </w:r>
      <w:r>
        <w:tab/>
      </w:r>
      <w:r>
        <w:fldChar w:fldCharType="begin"/>
      </w:r>
      <w:r>
        <w:instrText xml:space="preserve"> PAGEREF _Toc5577 \h </w:instrText>
      </w:r>
      <w:r>
        <w:fldChar w:fldCharType="separate"/>
      </w:r>
      <w:r>
        <w:t>14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_Toc20251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w:t>
      </w:r>
      <w:r>
        <w:rPr>
          <w:rFonts w:hint="eastAsia" w:ascii="微软雅黑" w:hAnsi="微软雅黑" w:eastAsia="微软雅黑" w:cs="微软雅黑"/>
          <w:szCs w:val="24"/>
          <w:lang w:eastAsia="zh-CN"/>
        </w:rPr>
        <w:t>比选</w:t>
      </w:r>
      <w:r>
        <w:rPr>
          <w:rFonts w:hint="eastAsia" w:ascii="微软雅黑" w:hAnsi="微软雅黑" w:eastAsia="微软雅黑" w:cs="微软雅黑"/>
          <w:szCs w:val="24"/>
        </w:rPr>
        <w:t>费用</w:t>
      </w:r>
      <w:r>
        <w:tab/>
      </w:r>
      <w:r>
        <w:fldChar w:fldCharType="begin"/>
      </w:r>
      <w:r>
        <w:instrText xml:space="preserve"> PAGEREF _Toc20251 \h </w:instrText>
      </w:r>
      <w:r>
        <w:fldChar w:fldCharType="separate"/>
      </w:r>
      <w:r>
        <w:t>14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_Toc27873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二、竞争性</w:t>
      </w:r>
      <w:r>
        <w:rPr>
          <w:rFonts w:hint="eastAsia" w:ascii="微软雅黑" w:hAnsi="微软雅黑" w:eastAsia="微软雅黑" w:cs="微软雅黑"/>
          <w:szCs w:val="24"/>
          <w:lang w:eastAsia="zh-CN"/>
        </w:rPr>
        <w:t>比选</w:t>
      </w:r>
      <w:r>
        <w:rPr>
          <w:rFonts w:hint="eastAsia" w:ascii="微软雅黑" w:hAnsi="微软雅黑" w:eastAsia="微软雅黑" w:cs="微软雅黑"/>
          <w:szCs w:val="24"/>
        </w:rPr>
        <w:t>文件</w:t>
      </w:r>
      <w:r>
        <w:tab/>
      </w:r>
      <w:r>
        <w:fldChar w:fldCharType="begin"/>
      </w:r>
      <w:r>
        <w:instrText xml:space="preserve"> PAGEREF _Toc27873 \h </w:instrText>
      </w:r>
      <w:r>
        <w:fldChar w:fldCharType="separate"/>
      </w:r>
      <w:r>
        <w:t>14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_Toc11848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w:t>
      </w:r>
      <w:r>
        <w:rPr>
          <w:rFonts w:hint="eastAsia" w:ascii="微软雅黑" w:hAnsi="微软雅黑" w:eastAsia="微软雅黑" w:cs="微软雅黑"/>
          <w:szCs w:val="24"/>
          <w:lang w:eastAsia="zh-CN"/>
        </w:rPr>
        <w:t>比选</w:t>
      </w:r>
      <w:r>
        <w:rPr>
          <w:rFonts w:hint="eastAsia" w:ascii="微软雅黑" w:hAnsi="微软雅黑" w:eastAsia="微软雅黑" w:cs="微软雅黑"/>
          <w:szCs w:val="24"/>
        </w:rPr>
        <w:t>要求</w:t>
      </w:r>
      <w:r>
        <w:tab/>
      </w:r>
      <w:r>
        <w:fldChar w:fldCharType="begin"/>
      </w:r>
      <w:r>
        <w:instrText xml:space="preserve"> PAGEREF _Toc11848 \h </w:instrText>
      </w:r>
      <w:r>
        <w:fldChar w:fldCharType="separate"/>
      </w:r>
      <w:r>
        <w:t>14</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_Toc29211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四、成交供应商的确认和变更</w:t>
      </w:r>
      <w:r>
        <w:tab/>
      </w:r>
      <w:r>
        <w:fldChar w:fldCharType="begin"/>
      </w:r>
      <w:r>
        <w:instrText xml:space="preserve"> PAGEREF _Toc29211 \h </w:instrText>
      </w:r>
      <w:r>
        <w:fldChar w:fldCharType="separate"/>
      </w:r>
      <w:r>
        <w:t>15</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_Toc17917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五、成交通知</w:t>
      </w:r>
      <w:r>
        <w:tab/>
      </w:r>
      <w:r>
        <w:fldChar w:fldCharType="begin"/>
      </w:r>
      <w:r>
        <w:instrText xml:space="preserve"> PAGEREF _Toc17917 \h </w:instrText>
      </w:r>
      <w:r>
        <w:fldChar w:fldCharType="separate"/>
      </w:r>
      <w:r>
        <w:t>16</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六、关于质疑和投诉</w:t>
      </w:r>
      <w:r>
        <w:tab/>
      </w:r>
      <w:r>
        <w:fldChar w:fldCharType="begin"/>
      </w:r>
      <w:r>
        <w:instrText xml:space="preserve"> PAGEREF _Toc1527 \h </w:instrText>
      </w:r>
      <w:r>
        <w:fldChar w:fldCharType="separate"/>
      </w:r>
      <w:r>
        <w:t>16</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_Toc1561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kern w:val="2"/>
          <w:szCs w:val="24"/>
          <w:highlight w:val="none"/>
          <w:lang w:val="en-US" w:eastAsia="zh-CN" w:bidi="ar-SA"/>
        </w:rPr>
        <w:t>七、采购代理服务费</w:t>
      </w:r>
      <w:r>
        <w:tab/>
      </w:r>
      <w:r>
        <w:fldChar w:fldCharType="begin"/>
      </w:r>
      <w:r>
        <w:instrText xml:space="preserve"> PAGEREF _Toc1561 \h </w:instrText>
      </w:r>
      <w:r>
        <w:fldChar w:fldCharType="separate"/>
      </w:r>
      <w:r>
        <w:t>17</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_Toc11441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eastAsia="zh-CN"/>
        </w:rPr>
        <w:t>八</w:t>
      </w:r>
      <w:r>
        <w:rPr>
          <w:rFonts w:hint="eastAsia" w:ascii="微软雅黑" w:hAnsi="微软雅黑" w:eastAsia="微软雅黑" w:cs="微软雅黑"/>
          <w:szCs w:val="24"/>
        </w:rPr>
        <w:t>、签订合同</w:t>
      </w:r>
      <w:r>
        <w:tab/>
      </w:r>
      <w:r>
        <w:fldChar w:fldCharType="begin"/>
      </w:r>
      <w:r>
        <w:instrText xml:space="preserve"> PAGEREF _Toc11441 \h </w:instrText>
      </w:r>
      <w:r>
        <w:fldChar w:fldCharType="separate"/>
      </w:r>
      <w:r>
        <w:t>18</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_Toc20058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第六篇  采购合同</w:t>
      </w:r>
      <w:r>
        <w:tab/>
      </w:r>
      <w:r>
        <w:fldChar w:fldCharType="begin"/>
      </w:r>
      <w:r>
        <w:instrText xml:space="preserve"> PAGEREF _Toc20058 \h </w:instrText>
      </w:r>
      <w:r>
        <w:fldChar w:fldCharType="separate"/>
      </w:r>
      <w:r>
        <w:t>19</w:t>
      </w:r>
      <w:r>
        <w:fldChar w:fldCharType="end"/>
      </w:r>
      <w:r>
        <w:rPr>
          <w:rFonts w:hint="eastAsia" w:ascii="微软雅黑" w:hAnsi="微软雅黑" w:eastAsia="微软雅黑" w:cs="微软雅黑"/>
          <w:szCs w:val="21"/>
        </w:rPr>
        <w:fldChar w:fldCharType="end"/>
      </w:r>
    </w:p>
    <w:p>
      <w:pPr>
        <w:pStyle w:val="14"/>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_Toc18879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30"/>
        </w:rPr>
        <w:t>第七篇  响应文件编制要求</w:t>
      </w:r>
      <w:r>
        <w:tab/>
      </w:r>
      <w:r>
        <w:fldChar w:fldCharType="begin"/>
      </w:r>
      <w:r>
        <w:instrText xml:space="preserve"> PAGEREF _Toc18879 \h </w:instrText>
      </w:r>
      <w:r>
        <w:fldChar w:fldCharType="separate"/>
      </w:r>
      <w:r>
        <w:t>20</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_Toc5221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一、经济部分</w:t>
      </w:r>
      <w:r>
        <w:tab/>
      </w:r>
      <w:r>
        <w:fldChar w:fldCharType="begin"/>
      </w:r>
      <w:r>
        <w:instrText xml:space="preserve"> PAGEREF _Toc5221 \h </w:instrText>
      </w:r>
      <w:r>
        <w:fldChar w:fldCharType="separate"/>
      </w:r>
      <w:r>
        <w:t>21</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_Toc9256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二、服务部分</w:t>
      </w:r>
      <w:r>
        <w:tab/>
      </w:r>
      <w:r>
        <w:fldChar w:fldCharType="begin"/>
      </w:r>
      <w:r>
        <w:instrText xml:space="preserve"> PAGEREF _Toc9256 \h </w:instrText>
      </w:r>
      <w:r>
        <w:fldChar w:fldCharType="separate"/>
      </w:r>
      <w:r>
        <w:t>23</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_Toc29488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三、商务部分</w:t>
      </w:r>
      <w:r>
        <w:tab/>
      </w:r>
      <w:r>
        <w:fldChar w:fldCharType="begin"/>
      </w:r>
      <w:r>
        <w:instrText xml:space="preserve"> PAGEREF _Toc29488 \h </w:instrText>
      </w:r>
      <w:r>
        <w:fldChar w:fldCharType="separate"/>
      </w:r>
      <w:r>
        <w:t>25</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_Toc25296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四、资格条件及其他</w:t>
      </w:r>
      <w:r>
        <w:tab/>
      </w:r>
      <w:r>
        <w:fldChar w:fldCharType="begin"/>
      </w:r>
      <w:r>
        <w:instrText xml:space="preserve"> PAGEREF _Toc25296 \h </w:instrText>
      </w:r>
      <w:r>
        <w:fldChar w:fldCharType="separate"/>
      </w:r>
      <w:r>
        <w:t>28</w:t>
      </w:r>
      <w:r>
        <w:fldChar w:fldCharType="end"/>
      </w:r>
      <w:r>
        <w:rPr>
          <w:rFonts w:hint="eastAsia" w:ascii="微软雅黑" w:hAnsi="微软雅黑" w:eastAsia="微软雅黑" w:cs="微软雅黑"/>
          <w:szCs w:val="21"/>
        </w:rPr>
        <w:fldChar w:fldCharType="end"/>
      </w:r>
    </w:p>
    <w:p>
      <w:pPr>
        <w:pStyle w:val="8"/>
        <w:tabs>
          <w:tab w:val="right" w:leader="dot" w:pos="9412"/>
        </w:tabs>
      </w:pP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HYPERLINK \l _Toc14004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lang w:eastAsia="zh-CN"/>
        </w:rPr>
        <w:t>五、</w:t>
      </w:r>
      <w:r>
        <w:rPr>
          <w:rFonts w:hint="eastAsia" w:ascii="微软雅黑" w:hAnsi="微软雅黑" w:eastAsia="微软雅黑" w:cs="微软雅黑"/>
          <w:szCs w:val="24"/>
          <w:highlight w:val="none"/>
        </w:rPr>
        <w:t>其他与项目有关的资料</w:t>
      </w:r>
      <w:r>
        <w:tab/>
      </w:r>
      <w:r>
        <w:fldChar w:fldCharType="begin"/>
      </w:r>
      <w:r>
        <w:instrText xml:space="preserve"> PAGEREF _Toc14004 \h </w:instrText>
      </w:r>
      <w:r>
        <w:fldChar w:fldCharType="separate"/>
      </w:r>
      <w:r>
        <w:t>33</w:t>
      </w:r>
      <w:r>
        <w:fldChar w:fldCharType="end"/>
      </w:r>
      <w:r>
        <w:rPr>
          <w:rFonts w:hint="eastAsia" w:ascii="微软雅黑" w:hAnsi="微软雅黑" w:eastAsia="微软雅黑" w:cs="微软雅黑"/>
          <w:szCs w:val="21"/>
        </w:rPr>
        <w:fldChar w:fldCharType="end"/>
      </w:r>
    </w:p>
    <w:p>
      <w:pPr>
        <w:rPr>
          <w:rFonts w:hint="eastAsia" w:ascii="微软雅黑" w:hAnsi="微软雅黑" w:eastAsia="微软雅黑" w:cs="微软雅黑"/>
          <w:szCs w:val="21"/>
        </w:rPr>
      </w:pPr>
      <w:r>
        <w:rPr>
          <w:rFonts w:hint="eastAsia" w:ascii="微软雅黑" w:hAnsi="微软雅黑" w:eastAsia="微软雅黑" w:cs="微软雅黑"/>
          <w:szCs w:val="21"/>
        </w:rPr>
        <w:fldChar w:fldCharType="end"/>
      </w: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szCs w:val="21"/>
        </w:rPr>
      </w:pPr>
    </w:p>
    <w:p>
      <w:pPr>
        <w:bidi w:val="0"/>
        <w:rPr>
          <w:rFonts w:hint="eastAsia"/>
        </w:rPr>
      </w:pPr>
    </w:p>
    <w:p>
      <w:pPr>
        <w:rPr>
          <w:rFonts w:hint="eastAsia" w:ascii="微软雅黑" w:hAnsi="微软雅黑" w:eastAsia="微软雅黑" w:cs="微软雅黑"/>
          <w:b w:val="0"/>
          <w:sz w:val="36"/>
          <w:szCs w:val="30"/>
        </w:rPr>
      </w:pPr>
      <w:bookmarkStart w:id="0" w:name="_Toc12789052"/>
      <w:bookmarkStart w:id="1" w:name="_Toc11641050"/>
      <w:bookmarkStart w:id="2" w:name="_Toc54353603"/>
      <w:r>
        <w:rPr>
          <w:rFonts w:hint="eastAsia" w:ascii="微软雅黑" w:hAnsi="微软雅黑" w:eastAsia="微软雅黑" w:cs="微软雅黑"/>
          <w:b w:val="0"/>
          <w:sz w:val="36"/>
          <w:szCs w:val="30"/>
        </w:rPr>
        <w:br w:type="page"/>
      </w:r>
    </w:p>
    <w:p>
      <w:pPr>
        <w:pStyle w:val="4"/>
        <w:spacing w:line="360" w:lineRule="auto"/>
        <w:ind w:left="0" w:leftChars="0" w:firstLine="0" w:firstLineChars="0"/>
        <w:jc w:val="center"/>
        <w:rPr>
          <w:rFonts w:hint="eastAsia" w:ascii="微软雅黑" w:hAnsi="微软雅黑" w:eastAsia="微软雅黑" w:cs="微软雅黑"/>
          <w:b w:val="0"/>
          <w:szCs w:val="30"/>
          <w:lang w:eastAsia="zh-CN"/>
        </w:rPr>
      </w:pPr>
      <w:bookmarkStart w:id="3" w:name="_Toc29354"/>
      <w:r>
        <w:rPr>
          <w:rFonts w:hint="eastAsia" w:ascii="微软雅黑" w:hAnsi="微软雅黑" w:eastAsia="微软雅黑" w:cs="微软雅黑"/>
          <w:b w:val="0"/>
          <w:sz w:val="36"/>
          <w:szCs w:val="30"/>
        </w:rPr>
        <w:t>第一篇  采购</w:t>
      </w:r>
      <w:bookmarkEnd w:id="0"/>
      <w:bookmarkEnd w:id="1"/>
      <w:bookmarkEnd w:id="2"/>
      <w:bookmarkEnd w:id="3"/>
      <w:r>
        <w:rPr>
          <w:rFonts w:hint="eastAsia" w:ascii="微软雅黑" w:hAnsi="微软雅黑" w:eastAsia="微软雅黑" w:cs="微软雅黑"/>
          <w:b w:val="0"/>
          <w:sz w:val="36"/>
          <w:szCs w:val="30"/>
          <w:lang w:eastAsia="zh-CN"/>
        </w:rPr>
        <w:t>公告</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重庆市会展服务中心，对</w:t>
      </w:r>
      <w:r>
        <w:rPr>
          <w:rFonts w:hint="eastAsia" w:ascii="微软雅黑" w:hAnsi="微软雅黑" w:eastAsia="微软雅黑" w:cs="微软雅黑"/>
          <w:color w:val="auto"/>
          <w:sz w:val="24"/>
          <w:szCs w:val="24"/>
          <w:highlight w:val="none"/>
          <w:u w:val="single"/>
          <w:lang w:val="en-US" w:eastAsia="zh-CN"/>
        </w:rPr>
        <w:t>2023中国国际智能产业博览会重大项目集中签约活动宣传服务</w:t>
      </w:r>
      <w:r>
        <w:rPr>
          <w:rFonts w:hint="eastAsia" w:ascii="微软雅黑" w:hAnsi="微软雅黑" w:eastAsia="微软雅黑" w:cs="微软雅黑"/>
          <w:color w:val="auto"/>
          <w:sz w:val="24"/>
          <w:szCs w:val="24"/>
          <w:highlight w:val="none"/>
          <w:u w:val="none"/>
        </w:rPr>
        <w:t>进行</w:t>
      </w:r>
      <w:r>
        <w:rPr>
          <w:rFonts w:hint="eastAsia" w:ascii="微软雅黑" w:hAnsi="微软雅黑" w:eastAsia="微软雅黑" w:cs="微软雅黑"/>
          <w:color w:val="auto"/>
          <w:sz w:val="24"/>
          <w:szCs w:val="24"/>
          <w:highlight w:val="none"/>
        </w:rPr>
        <w:t>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采购。欢迎有资格的供应商前来参与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pPr>
        <w:pStyle w:val="5"/>
        <w:numPr>
          <w:ilvl w:val="0"/>
          <w:numId w:val="0"/>
        </w:numPr>
        <w:spacing w:before="0" w:after="0" w:line="400" w:lineRule="exact"/>
        <w:ind w:firstLine="0" w:firstLineChars="0"/>
        <w:rPr>
          <w:rFonts w:hint="eastAsia" w:ascii="微软雅黑" w:hAnsi="微软雅黑" w:eastAsia="微软雅黑" w:cs="微软雅黑"/>
          <w:color w:val="auto"/>
          <w:sz w:val="24"/>
          <w:szCs w:val="24"/>
          <w:highlight w:val="none"/>
        </w:rPr>
      </w:pPr>
      <w:bookmarkStart w:id="4" w:name="_Toc317775175"/>
      <w:bookmarkStart w:id="5" w:name="_Toc54353604"/>
      <w:bookmarkStart w:id="6" w:name="_Toc313893526"/>
      <w:bookmarkStart w:id="7" w:name="_Toc21121"/>
      <w:r>
        <w:rPr>
          <w:rFonts w:hint="eastAsia" w:ascii="微软雅黑" w:hAnsi="微软雅黑" w:eastAsia="微软雅黑" w:cs="微软雅黑"/>
          <w:color w:val="auto"/>
          <w:sz w:val="24"/>
          <w:szCs w:val="24"/>
          <w:highlight w:val="none"/>
        </w:rPr>
        <w:t>一、竞争性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内容</w:t>
      </w:r>
      <w:bookmarkEnd w:id="4"/>
      <w:bookmarkEnd w:id="5"/>
      <w:bookmarkEnd w:id="6"/>
      <w:bookmarkEnd w:id="7"/>
    </w:p>
    <w:tbl>
      <w:tblPr>
        <w:tblStyle w:val="16"/>
        <w:tblW w:w="4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644"/>
        <w:gridCol w:w="1497"/>
        <w:gridCol w:w="149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57" w:type="pct"/>
            <w:tcBorders>
              <w:top w:val="single" w:color="auto" w:sz="4" w:space="0"/>
              <w:left w:val="single" w:color="auto" w:sz="4" w:space="0"/>
              <w:right w:val="single" w:color="auto" w:sz="4" w:space="0"/>
            </w:tcBorders>
            <w:noWrap w:val="0"/>
            <w:vAlign w:val="center"/>
          </w:tcPr>
          <w:p>
            <w:pPr>
              <w:widowControl/>
              <w:spacing w:line="400" w:lineRule="exact"/>
              <w:ind w:firstLine="420" w:firstLineChars="200"/>
              <w:jc w:val="center"/>
              <w:rPr>
                <w:rFonts w:hint="eastAsia"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项目名称</w:t>
            </w:r>
          </w:p>
        </w:tc>
        <w:tc>
          <w:tcPr>
            <w:tcW w:w="996" w:type="pct"/>
            <w:tcBorders>
              <w:top w:val="single" w:color="auto" w:sz="4" w:space="0"/>
              <w:left w:val="single" w:color="auto" w:sz="4" w:space="0"/>
              <w:right w:val="single" w:color="auto" w:sz="4" w:space="0"/>
            </w:tcBorders>
            <w:noWrap w:val="0"/>
            <w:vAlign w:val="center"/>
          </w:tcPr>
          <w:p>
            <w:pPr>
              <w:spacing w:line="400" w:lineRule="exact"/>
              <w:ind w:firstLine="0" w:firstLineChars="0"/>
              <w:jc w:val="center"/>
              <w:rPr>
                <w:rFonts w:hint="eastAsia"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最高限价（万元）</w:t>
            </w:r>
          </w:p>
        </w:tc>
        <w:tc>
          <w:tcPr>
            <w:tcW w:w="907" w:type="pct"/>
            <w:tcBorders>
              <w:top w:val="single" w:color="auto" w:sz="4" w:space="0"/>
              <w:left w:val="single" w:color="auto" w:sz="4" w:space="0"/>
              <w:right w:val="single" w:color="auto" w:sz="4" w:space="0"/>
            </w:tcBorders>
            <w:noWrap w:val="0"/>
            <w:vAlign w:val="center"/>
          </w:tcPr>
          <w:p>
            <w:pPr>
              <w:spacing w:line="400" w:lineRule="exact"/>
              <w:ind w:firstLine="0" w:firstLineChars="0"/>
              <w:jc w:val="center"/>
              <w:rPr>
                <w:rFonts w:hint="eastAsia" w:ascii="微软雅黑" w:hAnsi="微软雅黑" w:eastAsia="微软雅黑" w:cs="微软雅黑"/>
                <w:b/>
                <w:bCs/>
                <w:color w:val="auto"/>
                <w:kern w:val="0"/>
                <w:sz w:val="22"/>
                <w:szCs w:val="22"/>
                <w:highlight w:val="none"/>
                <w:lang w:eastAsia="zh-CN"/>
              </w:rPr>
            </w:pPr>
            <w:r>
              <w:rPr>
                <w:rFonts w:hint="eastAsia" w:ascii="微软雅黑" w:hAnsi="微软雅黑" w:eastAsia="微软雅黑" w:cs="微软雅黑"/>
                <w:b/>
                <w:bCs/>
                <w:color w:val="auto"/>
                <w:kern w:val="0"/>
                <w:sz w:val="22"/>
                <w:szCs w:val="22"/>
                <w:highlight w:val="none"/>
                <w:lang w:eastAsia="zh-CN"/>
              </w:rPr>
              <w:t>服务时间</w:t>
            </w:r>
          </w:p>
        </w:tc>
        <w:tc>
          <w:tcPr>
            <w:tcW w:w="907" w:type="pct"/>
            <w:tcBorders>
              <w:top w:val="single" w:color="auto" w:sz="4" w:space="0"/>
              <w:left w:val="single" w:color="auto" w:sz="4" w:space="0"/>
              <w:right w:val="single" w:color="auto" w:sz="4" w:space="0"/>
            </w:tcBorders>
            <w:noWrap w:val="0"/>
            <w:vAlign w:val="center"/>
          </w:tcPr>
          <w:p>
            <w:pPr>
              <w:spacing w:line="400" w:lineRule="exact"/>
              <w:ind w:firstLine="0" w:firstLineChars="0"/>
              <w:jc w:val="center"/>
              <w:rPr>
                <w:rFonts w:hint="eastAsia" w:ascii="微软雅黑" w:hAnsi="微软雅黑" w:eastAsia="微软雅黑" w:cs="微软雅黑"/>
                <w:b/>
                <w:bCs/>
                <w:color w:val="auto"/>
                <w:kern w:val="0"/>
                <w:sz w:val="21"/>
                <w:szCs w:val="24"/>
                <w:highlight w:val="none"/>
              </w:rPr>
            </w:pPr>
            <w:r>
              <w:rPr>
                <w:rFonts w:hint="eastAsia" w:ascii="微软雅黑" w:hAnsi="微软雅黑" w:eastAsia="微软雅黑" w:cs="微软雅黑"/>
                <w:b/>
                <w:bCs/>
                <w:color w:val="auto"/>
                <w:kern w:val="0"/>
                <w:sz w:val="21"/>
                <w:szCs w:val="24"/>
                <w:highlight w:val="none"/>
              </w:rPr>
              <w:t>成交人数量（名）</w:t>
            </w:r>
          </w:p>
        </w:tc>
        <w:tc>
          <w:tcPr>
            <w:tcW w:w="831" w:type="pct"/>
            <w:tcBorders>
              <w:top w:val="single" w:color="auto" w:sz="4" w:space="0"/>
              <w:left w:val="single" w:color="auto" w:sz="4" w:space="0"/>
              <w:right w:val="single" w:color="auto" w:sz="4" w:space="0"/>
            </w:tcBorders>
            <w:noWrap w:val="0"/>
            <w:vAlign w:val="center"/>
          </w:tcPr>
          <w:p>
            <w:pPr>
              <w:spacing w:line="400" w:lineRule="exact"/>
              <w:ind w:firstLine="0" w:firstLineChars="0"/>
              <w:jc w:val="center"/>
              <w:rPr>
                <w:rFonts w:hint="eastAsia" w:ascii="微软雅黑" w:hAnsi="微软雅黑" w:eastAsia="微软雅黑" w:cs="微软雅黑"/>
                <w:b/>
                <w:bCs/>
                <w:color w:val="auto"/>
                <w:kern w:val="0"/>
                <w:sz w:val="21"/>
                <w:szCs w:val="24"/>
                <w:highlight w:val="none"/>
                <w:lang w:eastAsia="zh-CN"/>
              </w:rPr>
            </w:pPr>
            <w:r>
              <w:rPr>
                <w:rFonts w:hint="eastAsia" w:ascii="微软雅黑" w:hAnsi="微软雅黑" w:eastAsia="微软雅黑" w:cs="微软雅黑"/>
                <w:b/>
                <w:bCs/>
                <w:color w:val="auto"/>
                <w:kern w:val="0"/>
                <w:sz w:val="21"/>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57" w:type="pc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both"/>
              <w:rPr>
                <w:rFonts w:hint="eastAsia" w:ascii="微软雅黑" w:hAnsi="微软雅黑" w:eastAsia="微软雅黑" w:cs="微软雅黑"/>
                <w:color w:val="auto"/>
                <w:kern w:val="0"/>
                <w:sz w:val="21"/>
                <w:szCs w:val="24"/>
                <w:highlight w:val="none"/>
              </w:rPr>
            </w:pPr>
            <w:bookmarkStart w:id="8" w:name="_Hlk344477914"/>
            <w:r>
              <w:rPr>
                <w:rFonts w:hint="eastAsia" w:ascii="微软雅黑" w:hAnsi="微软雅黑" w:eastAsia="微软雅黑" w:cs="微软雅黑"/>
                <w:color w:val="auto"/>
                <w:kern w:val="0"/>
                <w:sz w:val="21"/>
                <w:szCs w:val="24"/>
                <w:highlight w:val="none"/>
                <w:lang w:val="en-US" w:eastAsia="zh-CN"/>
              </w:rPr>
              <w:t>2023中国国际智能产业博览会重大项目集中签约活动宣传服务</w:t>
            </w:r>
          </w:p>
        </w:tc>
        <w:tc>
          <w:tcPr>
            <w:tcW w:w="996" w:type="pc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hint="default"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color w:val="auto"/>
                <w:kern w:val="0"/>
                <w:sz w:val="21"/>
                <w:szCs w:val="24"/>
                <w:highlight w:val="none"/>
                <w:lang w:val="en-US" w:eastAsia="zh-CN"/>
              </w:rPr>
              <w:t>20</w:t>
            </w:r>
          </w:p>
        </w:tc>
        <w:tc>
          <w:tcPr>
            <w:tcW w:w="907" w:type="pc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hint="eastAsia"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color w:val="auto"/>
                <w:kern w:val="0"/>
                <w:sz w:val="21"/>
                <w:szCs w:val="24"/>
                <w:highlight w:val="none"/>
                <w:lang w:val="en-US" w:eastAsia="zh-CN"/>
              </w:rPr>
              <w:t>采购人指定时间</w:t>
            </w:r>
          </w:p>
        </w:tc>
        <w:tc>
          <w:tcPr>
            <w:tcW w:w="907" w:type="pct"/>
            <w:tcBorders>
              <w:top w:val="single" w:color="auto" w:sz="4" w:space="0"/>
              <w:left w:val="single" w:color="auto" w:sz="4" w:space="0"/>
              <w:right w:val="single" w:color="auto" w:sz="4" w:space="0"/>
            </w:tcBorders>
            <w:noWrap w:val="0"/>
            <w:vAlign w:val="center"/>
          </w:tcPr>
          <w:p>
            <w:pPr>
              <w:widowControl/>
              <w:spacing w:line="400" w:lineRule="exact"/>
              <w:ind w:firstLine="0" w:firstLineChars="0"/>
              <w:jc w:val="center"/>
              <w:rPr>
                <w:rFonts w:hint="eastAsia" w:ascii="微软雅黑" w:hAnsi="微软雅黑" w:eastAsia="微软雅黑" w:cs="微软雅黑"/>
                <w:color w:val="auto"/>
                <w:kern w:val="0"/>
                <w:sz w:val="21"/>
                <w:szCs w:val="24"/>
                <w:highlight w:val="none"/>
                <w:lang w:val="en-US" w:eastAsia="zh-CN"/>
              </w:rPr>
            </w:pPr>
            <w:r>
              <w:rPr>
                <w:rFonts w:hint="eastAsia" w:ascii="微软雅黑" w:hAnsi="微软雅黑" w:eastAsia="微软雅黑" w:cs="微软雅黑"/>
                <w:color w:val="auto"/>
                <w:kern w:val="0"/>
                <w:sz w:val="21"/>
                <w:szCs w:val="24"/>
                <w:highlight w:val="none"/>
                <w:lang w:val="en-US" w:eastAsia="zh-CN"/>
              </w:rPr>
              <w:t>1</w:t>
            </w:r>
          </w:p>
        </w:tc>
        <w:tc>
          <w:tcPr>
            <w:tcW w:w="831" w:type="pct"/>
            <w:tcBorders>
              <w:top w:val="single" w:color="auto" w:sz="4" w:space="0"/>
              <w:left w:val="single" w:color="auto" w:sz="4" w:space="0"/>
              <w:right w:val="single" w:color="auto" w:sz="4" w:space="0"/>
            </w:tcBorders>
            <w:noWrap w:val="0"/>
            <w:vAlign w:val="center"/>
          </w:tcPr>
          <w:p>
            <w:pPr>
              <w:spacing w:line="400" w:lineRule="exact"/>
              <w:ind w:firstLine="0" w:firstLineChars="0"/>
              <w:jc w:val="center"/>
              <w:rPr>
                <w:rFonts w:hint="eastAsia" w:ascii="微软雅黑" w:hAnsi="微软雅黑" w:eastAsia="微软雅黑" w:cs="微软雅黑"/>
                <w:color w:val="auto"/>
                <w:kern w:val="0"/>
                <w:sz w:val="21"/>
                <w:szCs w:val="24"/>
                <w:highlight w:val="none"/>
              </w:rPr>
            </w:pPr>
          </w:p>
        </w:tc>
      </w:tr>
      <w:bookmarkEnd w:id="8"/>
    </w:tbl>
    <w:p>
      <w:pPr>
        <w:pStyle w:val="5"/>
        <w:numPr>
          <w:ilvl w:val="0"/>
          <w:numId w:val="0"/>
        </w:numPr>
        <w:spacing w:before="0" w:after="0" w:line="400" w:lineRule="exact"/>
        <w:ind w:firstLine="0" w:firstLineChars="0"/>
        <w:rPr>
          <w:rFonts w:hint="eastAsia" w:ascii="微软雅黑" w:hAnsi="微软雅黑" w:eastAsia="微软雅黑" w:cs="微软雅黑"/>
          <w:color w:val="auto"/>
          <w:sz w:val="24"/>
          <w:szCs w:val="24"/>
          <w:highlight w:val="none"/>
        </w:rPr>
      </w:pPr>
      <w:bookmarkStart w:id="9" w:name="_Toc54353605"/>
      <w:bookmarkStart w:id="10" w:name="_Toc25484"/>
      <w:bookmarkStart w:id="11" w:name="_Toc317775178"/>
      <w:bookmarkStart w:id="12" w:name="_Toc373860293"/>
      <w:r>
        <w:rPr>
          <w:rFonts w:hint="eastAsia" w:ascii="微软雅黑" w:hAnsi="微软雅黑" w:eastAsia="微软雅黑" w:cs="微软雅黑"/>
          <w:color w:val="auto"/>
          <w:sz w:val="24"/>
          <w:szCs w:val="24"/>
          <w:highlight w:val="none"/>
        </w:rPr>
        <w:t>二、资金来源</w:t>
      </w:r>
      <w:bookmarkEnd w:id="9"/>
      <w:bookmarkEnd w:id="10"/>
    </w:p>
    <w:p>
      <w:pPr>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业主自筹</w:t>
      </w:r>
      <w:r>
        <w:rPr>
          <w:rFonts w:hint="eastAsia" w:ascii="微软雅黑" w:hAnsi="微软雅黑" w:eastAsia="微软雅黑" w:cs="微软雅黑"/>
          <w:color w:val="auto"/>
          <w:sz w:val="24"/>
          <w:szCs w:val="24"/>
          <w:highlight w:val="none"/>
        </w:rPr>
        <w:t>。预算金额为</w:t>
      </w:r>
      <w:r>
        <w:rPr>
          <w:rFonts w:hint="eastAsia" w:ascii="微软雅黑" w:hAnsi="微软雅黑" w:eastAsia="微软雅黑" w:cs="微软雅黑"/>
          <w:color w:val="auto"/>
          <w:sz w:val="24"/>
          <w:szCs w:val="24"/>
          <w:highlight w:val="none"/>
          <w:lang w:val="en-US" w:eastAsia="zh-CN"/>
        </w:rPr>
        <w:t>20万元。</w:t>
      </w:r>
    </w:p>
    <w:p>
      <w:pPr>
        <w:pStyle w:val="5"/>
        <w:numPr>
          <w:ilvl w:val="0"/>
          <w:numId w:val="0"/>
        </w:numPr>
        <w:spacing w:before="0" w:after="0" w:line="400" w:lineRule="exact"/>
        <w:ind w:firstLine="0" w:firstLineChars="0"/>
        <w:rPr>
          <w:rFonts w:hint="eastAsia" w:ascii="微软雅黑" w:hAnsi="微软雅黑" w:eastAsia="微软雅黑" w:cs="微软雅黑"/>
          <w:color w:val="auto"/>
          <w:sz w:val="24"/>
          <w:szCs w:val="24"/>
          <w:highlight w:val="none"/>
        </w:rPr>
      </w:pPr>
      <w:bookmarkStart w:id="13" w:name="_Toc6887"/>
      <w:bookmarkStart w:id="14" w:name="_Toc54353606"/>
      <w:r>
        <w:rPr>
          <w:rFonts w:hint="eastAsia" w:ascii="微软雅黑" w:hAnsi="微软雅黑" w:eastAsia="微软雅黑" w:cs="微软雅黑"/>
          <w:color w:val="auto"/>
          <w:sz w:val="24"/>
          <w:szCs w:val="24"/>
          <w:highlight w:val="none"/>
        </w:rPr>
        <w:t>三、供应商资格条件</w:t>
      </w:r>
      <w:bookmarkEnd w:id="13"/>
      <w:bookmarkEnd w:id="14"/>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供应商是指向采购人提供服务或者货物的法人、其他组织或者自然人。合格的供应商应符合政府采购法第二十二条规定的基本资格条件。</w:t>
      </w:r>
    </w:p>
    <w:p>
      <w:pPr>
        <w:snapToGrid/>
        <w:spacing w:line="400" w:lineRule="exact"/>
        <w:ind w:firstLine="480" w:firstLineChars="200"/>
        <w:rPr>
          <w:rFonts w:hint="eastAsia" w:ascii="微软雅黑" w:hAnsi="微软雅黑" w:eastAsia="微软雅黑" w:cs="微软雅黑"/>
          <w:color w:val="auto"/>
          <w:sz w:val="24"/>
          <w:szCs w:val="24"/>
          <w:highlight w:val="none"/>
        </w:rPr>
      </w:pPr>
      <w:bookmarkStart w:id="15" w:name="_Toc54353607"/>
      <w:r>
        <w:rPr>
          <w:rFonts w:hint="eastAsia" w:ascii="微软雅黑" w:hAnsi="微软雅黑" w:eastAsia="微软雅黑" w:cs="微软雅黑"/>
          <w:color w:val="auto"/>
          <w:sz w:val="24"/>
          <w:szCs w:val="24"/>
          <w:highlight w:val="none"/>
        </w:rPr>
        <w:t>（一）基本资格条件</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2.具有良好的商业信誉和健全的财务会计制度；</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3.具有履行合同所必需的设备和专业技术能力；</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4.有依法缴纳税收和社会保障资金的良好记录；</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5.参加政府采购活动前三年内，在经营活动中没有重大违法记录；</w:t>
      </w:r>
    </w:p>
    <w:p>
      <w:pPr>
        <w:snapToGrid/>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bookmarkEnd w:id="11"/>
      <w:bookmarkEnd w:id="12"/>
      <w:bookmarkEnd w:id="15"/>
    </w:p>
    <w:p>
      <w:pPr>
        <w:snapToGrid/>
        <w:spacing w:line="400" w:lineRule="exact"/>
        <w:ind w:firstLine="480" w:firstLineChars="200"/>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（二）特定资格条件</w:t>
      </w:r>
    </w:p>
    <w:p>
      <w:pPr>
        <w:snapToGrid w:val="0"/>
        <w:spacing w:line="400" w:lineRule="exact"/>
        <w:ind w:firstLine="480" w:firstLineChars="200"/>
        <w:rPr>
          <w:rFonts w:hint="eastAsia"/>
        </w:rPr>
      </w:pPr>
      <w:r>
        <w:rPr>
          <w:rFonts w:hint="eastAsia" w:ascii="微软雅黑" w:hAnsi="微软雅黑" w:eastAsia="微软雅黑" w:cs="微软雅黑"/>
          <w:color w:val="000000"/>
          <w:sz w:val="24"/>
          <w:szCs w:val="24"/>
          <w:highlight w:val="none"/>
          <w:lang w:eastAsia="zh-CN"/>
        </w:rPr>
        <w:t>无。</w:t>
      </w:r>
    </w:p>
    <w:p>
      <w:pPr>
        <w:pStyle w:val="5"/>
        <w:numPr>
          <w:ilvl w:val="0"/>
          <w:numId w:val="0"/>
        </w:numPr>
        <w:spacing w:before="0" w:after="0" w:line="400" w:lineRule="exact"/>
        <w:ind w:firstLine="0" w:firstLineChars="0"/>
        <w:rPr>
          <w:rFonts w:hint="default" w:ascii="微软雅黑" w:hAnsi="微软雅黑" w:eastAsia="微软雅黑" w:cs="微软雅黑"/>
          <w:color w:val="auto"/>
          <w:sz w:val="24"/>
          <w:szCs w:val="24"/>
          <w:highlight w:val="none"/>
          <w:lang w:val="en-US" w:eastAsia="zh-CN"/>
        </w:rPr>
      </w:pPr>
      <w:bookmarkStart w:id="16" w:name="_Toc23658"/>
      <w:bookmarkStart w:id="17" w:name="_Toc208"/>
      <w:bookmarkStart w:id="18" w:name="_Toc54353610"/>
      <w:bookmarkStart w:id="19" w:name="_Toc480466700"/>
      <w:r>
        <w:rPr>
          <w:rFonts w:hint="eastAsia" w:ascii="微软雅黑" w:hAnsi="微软雅黑" w:eastAsia="微软雅黑" w:cs="微软雅黑"/>
          <w:color w:val="auto"/>
          <w:sz w:val="24"/>
          <w:szCs w:val="24"/>
          <w:highlight w:val="none"/>
        </w:rPr>
        <w:t>四、</w:t>
      </w:r>
      <w:bookmarkEnd w:id="16"/>
      <w:r>
        <w:rPr>
          <w:rFonts w:hint="eastAsia" w:ascii="微软雅黑" w:hAnsi="微软雅黑" w:eastAsia="微软雅黑" w:cs="微软雅黑"/>
          <w:color w:val="auto"/>
          <w:sz w:val="24"/>
          <w:szCs w:val="24"/>
          <w:highlight w:val="none"/>
        </w:rPr>
        <w:t>竞争性比选有关说明</w:t>
      </w:r>
      <w:bookmarkEnd w:id="17"/>
      <w:r>
        <w:rPr>
          <w:rFonts w:hint="eastAsia" w:ascii="微软雅黑" w:hAnsi="微软雅黑" w:eastAsia="微软雅黑" w:cs="微软雅黑"/>
          <w:color w:val="auto"/>
          <w:sz w:val="24"/>
          <w:szCs w:val="24"/>
          <w:highlight w:val="none"/>
          <w:lang w:val="en-US" w:eastAsia="zh-CN"/>
        </w:rPr>
        <w:t xml:space="preserve">  </w:t>
      </w:r>
    </w:p>
    <w:p>
      <w:pPr>
        <w:spacing w:line="400" w:lineRule="exact"/>
        <w:ind w:firstLine="480" w:firstLineChars="200"/>
        <w:rPr>
          <w:rFonts w:hint="eastAsia" w:ascii="微软雅黑" w:hAnsi="微软雅黑" w:eastAsia="微软雅黑" w:cs="微软雅黑"/>
          <w:color w:val="auto"/>
          <w:sz w:val="24"/>
          <w:szCs w:val="24"/>
          <w:highlight w:val="none"/>
        </w:rPr>
      </w:pPr>
      <w:bookmarkStart w:id="20" w:name="_Toc373860294"/>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凡有意参加</w:t>
      </w:r>
      <w:r>
        <w:rPr>
          <w:rFonts w:hint="eastAsia" w:ascii="微软雅黑" w:hAnsi="微软雅黑" w:eastAsia="微软雅黑" w:cs="微软雅黑"/>
          <w:color w:val="auto"/>
          <w:sz w:val="24"/>
          <w:szCs w:val="24"/>
          <w:highlight w:val="none"/>
        </w:rPr>
        <w:t>竞争性比选</w:t>
      </w:r>
      <w:r>
        <w:rPr>
          <w:rFonts w:hint="eastAsia" w:ascii="微软雅黑" w:hAnsi="微软雅黑" w:eastAsia="微软雅黑" w:cs="微软雅黑"/>
          <w:sz w:val="24"/>
          <w:szCs w:val="24"/>
        </w:rPr>
        <w:t>的供应商，</w:t>
      </w:r>
      <w:r>
        <w:rPr>
          <w:rFonts w:hint="eastAsia" w:ascii="微软雅黑" w:hAnsi="微软雅黑" w:eastAsia="微软雅黑" w:cs="微软雅黑"/>
          <w:color w:val="auto"/>
          <w:sz w:val="24"/>
          <w:szCs w:val="24"/>
          <w:highlight w:val="none"/>
        </w:rPr>
        <w:t>请于公告发布之日（20</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日）起至提交响应文件截止时间前，在重庆市会展服务中心官网（http://www.cqftit.cn）下载本项目</w:t>
      </w:r>
      <w:r>
        <w:rPr>
          <w:rFonts w:hint="eastAsia" w:ascii="微软雅黑" w:hAnsi="微软雅黑" w:eastAsia="微软雅黑" w:cs="微软雅黑"/>
          <w:color w:val="auto"/>
          <w:sz w:val="24"/>
          <w:szCs w:val="24"/>
          <w:highlight w:val="none"/>
          <w:lang w:eastAsia="zh-CN"/>
        </w:rPr>
        <w:t>竞争性比选</w:t>
      </w:r>
      <w:r>
        <w:rPr>
          <w:rFonts w:hint="eastAsia" w:ascii="微软雅黑" w:hAnsi="微软雅黑" w:eastAsia="微软雅黑" w:cs="微软雅黑"/>
          <w:color w:val="auto"/>
          <w:sz w:val="24"/>
          <w:szCs w:val="24"/>
          <w:highlight w:val="none"/>
        </w:rPr>
        <w:t>文件以及澄清等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前公布的所有项目资料，无论供应商下载与否，均视为已知晓所有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实质性要求内容。</w:t>
      </w:r>
    </w:p>
    <w:p>
      <w:pPr>
        <w:spacing w:line="400" w:lineRule="exact"/>
        <w:ind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二</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w:t>
      </w:r>
      <w:r>
        <w:rPr>
          <w:rFonts w:hint="eastAsia" w:ascii="微软雅黑" w:hAnsi="微软雅黑" w:eastAsia="微软雅黑" w:cs="微软雅黑"/>
          <w:color w:val="auto"/>
          <w:sz w:val="24"/>
          <w:szCs w:val="24"/>
          <w:highlight w:val="none"/>
          <w:lang w:eastAsia="zh-CN"/>
        </w:rPr>
        <w:t>布</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w:t>
      </w:r>
      <w:r>
        <w:rPr>
          <w:rFonts w:hint="eastAsia" w:ascii="微软雅黑" w:hAnsi="微软雅黑" w:eastAsia="微软雅黑" w:cs="微软雅黑"/>
          <w:color w:val="auto"/>
          <w:sz w:val="24"/>
          <w:szCs w:val="24"/>
          <w:highlight w:val="none"/>
          <w:lang w:eastAsia="zh-CN"/>
        </w:rPr>
        <w:t>售</w:t>
      </w:r>
      <w:r>
        <w:rPr>
          <w:rFonts w:hint="eastAsia" w:ascii="微软雅黑" w:hAnsi="微软雅黑" w:eastAsia="微软雅黑" w:cs="微软雅黑"/>
          <w:color w:val="auto"/>
          <w:sz w:val="24"/>
          <w:szCs w:val="24"/>
          <w:highlight w:val="none"/>
        </w:rPr>
        <w:t>期：202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29</w:t>
      </w:r>
      <w:r>
        <w:rPr>
          <w:rFonts w:hint="eastAsia" w:ascii="微软雅黑" w:hAnsi="微软雅黑" w:eastAsia="微软雅黑" w:cs="微软雅黑"/>
          <w:color w:val="auto"/>
          <w:sz w:val="24"/>
          <w:szCs w:val="24"/>
          <w:highlight w:val="none"/>
        </w:rPr>
        <w:t>日（上午9:</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0-下午1</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文件发布地点：重庆市会展服务中心官网（http://www.cqftit.cn）。</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竞争性比选文件</w:t>
      </w:r>
      <w:r>
        <w:rPr>
          <w:rFonts w:hint="eastAsia" w:ascii="微软雅黑" w:hAnsi="微软雅黑" w:eastAsia="微软雅黑" w:cs="微软雅黑"/>
          <w:color w:val="auto"/>
          <w:sz w:val="24"/>
          <w:szCs w:val="24"/>
          <w:highlight w:val="none"/>
        </w:rPr>
        <w:t>售价：人民币</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00元/份（售后不退）</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3.1</w:t>
      </w:r>
      <w:r>
        <w:rPr>
          <w:rFonts w:hint="eastAsia" w:ascii="微软雅黑" w:hAnsi="微软雅黑" w:eastAsia="微软雅黑" w:cs="微软雅黑"/>
          <w:color w:val="auto"/>
          <w:sz w:val="24"/>
          <w:szCs w:val="24"/>
          <w:highlight w:val="none"/>
          <w:lang w:eastAsia="zh-CN"/>
        </w:rPr>
        <w:t>竞争性比选文件</w:t>
      </w:r>
      <w:r>
        <w:rPr>
          <w:rFonts w:hint="eastAsia" w:ascii="微软雅黑" w:hAnsi="微软雅黑" w:eastAsia="微软雅黑" w:cs="微软雅黑"/>
          <w:color w:val="auto"/>
          <w:sz w:val="24"/>
          <w:szCs w:val="24"/>
          <w:highlight w:val="none"/>
        </w:rPr>
        <w:t>购买方式</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在报名和竞争性磋商文件发售期内，供应商将《采购文件发售登记表》（加盖供应商公章）</w:t>
      </w:r>
      <w:r>
        <w:rPr>
          <w:rFonts w:hint="eastAsia" w:ascii="微软雅黑" w:hAnsi="微软雅黑" w:eastAsia="微软雅黑" w:cs="微软雅黑"/>
          <w:color w:val="auto"/>
          <w:sz w:val="24"/>
          <w:szCs w:val="24"/>
          <w:highlight w:val="none"/>
          <w:lang w:eastAsia="zh-CN"/>
        </w:rPr>
        <w:t>并把原件拿到采购代理机构处现场报名并缴纳磋商文件报名费</w:t>
      </w:r>
      <w:r>
        <w:rPr>
          <w:rFonts w:hint="eastAsia" w:ascii="微软雅黑" w:hAnsi="微软雅黑" w:eastAsia="微软雅黑" w:cs="微软雅黑"/>
          <w:color w:val="auto"/>
          <w:sz w:val="24"/>
          <w:szCs w:val="24"/>
          <w:highlight w:val="none"/>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）供应商须满足以下</w:t>
      </w:r>
      <w:r>
        <w:rPr>
          <w:rFonts w:hint="eastAsia" w:ascii="微软雅黑" w:hAnsi="微软雅黑" w:eastAsia="微软雅黑" w:cs="微软雅黑"/>
          <w:color w:val="auto"/>
          <w:sz w:val="24"/>
          <w:szCs w:val="24"/>
          <w:highlight w:val="none"/>
          <w:lang w:eastAsia="zh-CN"/>
        </w:rPr>
        <w:t>三</w:t>
      </w:r>
      <w:r>
        <w:rPr>
          <w:rFonts w:hint="eastAsia" w:ascii="微软雅黑" w:hAnsi="微软雅黑" w:eastAsia="微软雅黑" w:cs="微软雅黑"/>
          <w:color w:val="auto"/>
          <w:sz w:val="24"/>
          <w:szCs w:val="24"/>
          <w:highlight w:val="none"/>
        </w:rPr>
        <w:t>种要件，其响应文件才被接受：</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1.按时递交了响应文件；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2.按时签到。</w:t>
      </w:r>
    </w:p>
    <w:p>
      <w:pPr>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3.在报名和竞争性比选文件发售期内购买了竞争性比选文件的供应商，其报名才被接收。</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五</w:t>
      </w:r>
      <w:r>
        <w:rPr>
          <w:rFonts w:hint="eastAsia" w:ascii="微软雅黑" w:hAnsi="微软雅黑" w:eastAsia="微软雅黑" w:cs="微软雅黑"/>
          <w:color w:val="auto"/>
          <w:sz w:val="24"/>
          <w:szCs w:val="24"/>
          <w:highlight w:val="none"/>
        </w:rPr>
        <w:t>）递交响应文件地点：重庆市渝北区财富金融中心FFC</w:t>
      </w:r>
      <w:r>
        <w:rPr>
          <w:rFonts w:hint="eastAsia" w:ascii="微软雅黑" w:hAnsi="微软雅黑" w:eastAsia="微软雅黑" w:cs="微软雅黑"/>
          <w:color w:val="auto"/>
          <w:sz w:val="24"/>
          <w:szCs w:val="24"/>
          <w:highlight w:val="none"/>
          <w:lang w:eastAsia="zh-CN"/>
        </w:rPr>
        <w:t>大楼</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楼</w:t>
      </w:r>
      <w:r>
        <w:rPr>
          <w:rFonts w:hint="eastAsia" w:ascii="微软雅黑" w:hAnsi="微软雅黑" w:eastAsia="微软雅黑" w:cs="微软雅黑"/>
          <w:color w:val="auto"/>
          <w:sz w:val="24"/>
          <w:szCs w:val="24"/>
          <w:highlight w:val="none"/>
          <w:lang w:val="en-US" w:eastAsia="zh-CN"/>
        </w:rPr>
        <w:t>606。</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六</w:t>
      </w:r>
      <w:r>
        <w:rPr>
          <w:rFonts w:hint="eastAsia" w:ascii="微软雅黑" w:hAnsi="微软雅黑" w:eastAsia="微软雅黑" w:cs="微软雅黑"/>
          <w:color w:val="auto"/>
          <w:sz w:val="24"/>
          <w:szCs w:val="24"/>
          <w:highlight w:val="none"/>
        </w:rPr>
        <w:t>）响应文件递交开始时间</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31</w:t>
      </w:r>
      <w:r>
        <w:rPr>
          <w:rFonts w:hint="eastAsia" w:ascii="微软雅黑" w:hAnsi="微软雅黑" w:eastAsia="微软雅黑" w:cs="微软雅黑"/>
          <w:color w:val="auto"/>
          <w:sz w:val="24"/>
          <w:szCs w:val="24"/>
          <w:highlight w:val="none"/>
        </w:rPr>
        <w:t>日北京时间</w:t>
      </w:r>
      <w:r>
        <w:rPr>
          <w:rFonts w:hint="eastAsia" w:ascii="微软雅黑" w:hAnsi="微软雅黑" w:eastAsia="微软雅黑" w:cs="微软雅黑"/>
          <w:color w:val="auto"/>
          <w:sz w:val="24"/>
          <w:szCs w:val="24"/>
          <w:highlight w:val="none"/>
          <w:lang w:eastAsia="zh-CN"/>
        </w:rPr>
        <w:t>0</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七</w:t>
      </w:r>
      <w:r>
        <w:rPr>
          <w:rFonts w:hint="eastAsia" w:ascii="微软雅黑" w:hAnsi="微软雅黑" w:eastAsia="微软雅黑" w:cs="微软雅黑"/>
          <w:color w:val="auto"/>
          <w:sz w:val="24"/>
          <w:szCs w:val="24"/>
          <w:highlight w:val="none"/>
        </w:rPr>
        <w:t>）响应文件递交截止时间</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0（超过递交截止时间递交的响应文件我单位恕不接受）</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八</w:t>
      </w:r>
      <w:r>
        <w:rPr>
          <w:rFonts w:hint="eastAsia" w:ascii="微软雅黑" w:hAnsi="微软雅黑" w:eastAsia="微软雅黑" w:cs="微软雅黑"/>
          <w:color w:val="auto"/>
          <w:sz w:val="24"/>
          <w:szCs w:val="24"/>
          <w:highlight w:val="none"/>
        </w:rPr>
        <w:t>）响应文件开启时间：202</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31</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p>
    <w:p>
      <w:pPr>
        <w:spacing w:line="40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九</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地点：重庆市渝北区财富金融中心FFC</w:t>
      </w:r>
      <w:r>
        <w:rPr>
          <w:rFonts w:hint="eastAsia" w:ascii="微软雅黑" w:hAnsi="微软雅黑" w:eastAsia="微软雅黑" w:cs="微软雅黑"/>
          <w:color w:val="auto"/>
          <w:sz w:val="24"/>
          <w:szCs w:val="24"/>
          <w:highlight w:val="none"/>
          <w:lang w:eastAsia="zh-CN"/>
        </w:rPr>
        <w:t>大楼</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楼</w:t>
      </w:r>
      <w:r>
        <w:rPr>
          <w:rFonts w:hint="eastAsia" w:ascii="微软雅黑" w:hAnsi="微软雅黑" w:eastAsia="微软雅黑" w:cs="微软雅黑"/>
          <w:color w:val="auto"/>
          <w:sz w:val="24"/>
          <w:szCs w:val="24"/>
          <w:highlight w:val="none"/>
          <w:lang w:val="en-US" w:eastAsia="zh-CN"/>
        </w:rPr>
        <w:t>403。</w:t>
      </w:r>
      <w:bookmarkEnd w:id="20"/>
    </w:p>
    <w:p>
      <w:pPr>
        <w:pStyle w:val="5"/>
        <w:numPr>
          <w:ilvl w:val="0"/>
          <w:numId w:val="0"/>
        </w:numPr>
        <w:spacing w:before="0" w:after="0" w:line="400" w:lineRule="exact"/>
        <w:ind w:firstLine="0" w:firstLineChars="0"/>
        <w:rPr>
          <w:rFonts w:hint="eastAsia" w:ascii="微软雅黑" w:hAnsi="微软雅黑" w:eastAsia="微软雅黑" w:cs="微软雅黑"/>
          <w:color w:val="auto"/>
          <w:sz w:val="24"/>
          <w:szCs w:val="24"/>
          <w:highlight w:val="none"/>
        </w:rPr>
      </w:pPr>
      <w:bookmarkStart w:id="21" w:name="_Toc5364"/>
      <w:bookmarkStart w:id="22" w:name="_Toc2258"/>
      <w:bookmarkStart w:id="23" w:name="_Toc480466699"/>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、投标保证金</w:t>
      </w:r>
      <w:bookmarkEnd w:id="21"/>
      <w:bookmarkEnd w:id="22"/>
    </w:p>
    <w:p>
      <w:pPr>
        <w:pStyle w:val="5"/>
        <w:numPr>
          <w:ilvl w:val="0"/>
          <w:numId w:val="0"/>
        </w:numPr>
        <w:spacing w:before="0" w:after="0" w:line="400" w:lineRule="exact"/>
        <w:ind w:firstLine="720" w:firstLineChars="300"/>
        <w:rPr>
          <w:rFonts w:hint="eastAsia" w:ascii="微软雅黑" w:hAnsi="微软雅黑" w:eastAsia="微软雅黑" w:cs="微软雅黑"/>
          <w:color w:val="auto"/>
          <w:sz w:val="24"/>
          <w:szCs w:val="24"/>
          <w:highlight w:val="none"/>
          <w:lang w:eastAsia="zh-CN"/>
        </w:rPr>
      </w:pPr>
      <w:bookmarkStart w:id="24" w:name="_Toc27269"/>
      <w:bookmarkStart w:id="25" w:name="_Toc7218"/>
      <w:r>
        <w:rPr>
          <w:rFonts w:hint="eastAsia" w:ascii="微软雅黑" w:hAnsi="微软雅黑" w:eastAsia="微软雅黑" w:cs="微软雅黑"/>
          <w:color w:val="auto"/>
          <w:sz w:val="24"/>
          <w:szCs w:val="24"/>
          <w:highlight w:val="none"/>
          <w:lang w:eastAsia="zh-CN"/>
        </w:rPr>
        <w:t>无</w:t>
      </w:r>
      <w:bookmarkEnd w:id="24"/>
    </w:p>
    <w:p>
      <w:pPr>
        <w:pStyle w:val="5"/>
        <w:numPr>
          <w:ilvl w:val="0"/>
          <w:numId w:val="0"/>
        </w:numPr>
        <w:spacing w:before="0" w:after="0" w:line="400" w:lineRule="exact"/>
        <w:ind w:firstLine="0" w:firstLineChars="0"/>
        <w:rPr>
          <w:rFonts w:hint="eastAsia" w:ascii="微软雅黑" w:hAnsi="微软雅黑" w:eastAsia="微软雅黑" w:cs="微软雅黑"/>
          <w:color w:val="auto"/>
          <w:sz w:val="24"/>
          <w:szCs w:val="24"/>
          <w:highlight w:val="none"/>
        </w:rPr>
      </w:pPr>
      <w:bookmarkStart w:id="26" w:name="_Toc9074"/>
      <w:r>
        <w:rPr>
          <w:rFonts w:hint="eastAsia" w:ascii="微软雅黑" w:hAnsi="微软雅黑" w:eastAsia="微软雅黑" w:cs="微软雅黑"/>
          <w:color w:val="auto"/>
          <w:sz w:val="24"/>
          <w:szCs w:val="24"/>
          <w:highlight w:val="none"/>
          <w:lang w:eastAsia="zh-CN"/>
        </w:rPr>
        <w:t>六、竞争性比选</w:t>
      </w:r>
      <w:r>
        <w:rPr>
          <w:rFonts w:hint="eastAsia" w:ascii="微软雅黑" w:hAnsi="微软雅黑" w:eastAsia="微软雅黑" w:cs="微软雅黑"/>
          <w:color w:val="auto"/>
          <w:sz w:val="24"/>
          <w:szCs w:val="24"/>
          <w:highlight w:val="none"/>
        </w:rPr>
        <w:t>其它有关规定</w:t>
      </w:r>
      <w:bookmarkEnd w:id="23"/>
      <w:bookmarkEnd w:id="25"/>
      <w:bookmarkEnd w:id="26"/>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（一）单位负责人为同一人或者存在直接控股、管理关系的不同供应商，不得参加同一合同项（分包）下的采购活动，否则均为无效响应。</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（三）本项目的补遗文件（如果有）一律在</w:t>
      </w:r>
      <w:r>
        <w:rPr>
          <w:rFonts w:hint="eastAsia" w:ascii="微软雅黑" w:hAnsi="微软雅黑" w:eastAsia="微软雅黑" w:cs="微软雅黑"/>
          <w:color w:val="auto"/>
          <w:sz w:val="24"/>
          <w:szCs w:val="24"/>
          <w:highlight w:val="none"/>
          <w:lang w:val="en-US" w:eastAsia="zh-CN"/>
        </w:rPr>
        <w:t>重庆市会展服务中心网站</w:t>
      </w:r>
      <w:r>
        <w:rPr>
          <w:rFonts w:hint="eastAsia" w:ascii="微软雅黑" w:hAnsi="微软雅黑" w:eastAsia="微软雅黑" w:cs="微软雅黑"/>
          <w:color w:val="auto"/>
          <w:sz w:val="24"/>
          <w:szCs w:val="24"/>
          <w:highlight w:val="none"/>
        </w:rPr>
        <w:t>上发布，请各供应商注意下载；无论供应商下载或领取与否，均视同供应商已知晓本项目补遗文件（如果有）的内容。</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（四）超过响应文件截止时间递交的响应文件，恕不接收。</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费用：无论</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结果如何，供应商参与本项目</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的所有费用均应由供应商自行承担。</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（六）本项目不接受联合体参与</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pPr>
        <w:pStyle w:val="5"/>
        <w:spacing w:before="0" w:after="0" w:line="400" w:lineRule="exact"/>
        <w:rPr>
          <w:rFonts w:hint="eastAsia" w:ascii="微软雅黑" w:hAnsi="微软雅黑" w:eastAsia="微软雅黑" w:cs="微软雅黑"/>
          <w:sz w:val="24"/>
          <w:szCs w:val="24"/>
        </w:rPr>
      </w:pPr>
      <w:bookmarkStart w:id="27" w:name="_Toc15629"/>
      <w:r>
        <w:rPr>
          <w:rFonts w:hint="eastAsia" w:ascii="微软雅黑" w:hAnsi="微软雅黑" w:eastAsia="微软雅黑" w:cs="微软雅黑"/>
          <w:sz w:val="24"/>
          <w:szCs w:val="24"/>
        </w:rPr>
        <w:t>七、联系方式</w:t>
      </w:r>
      <w:bookmarkEnd w:id="18"/>
      <w:bookmarkEnd w:id="19"/>
      <w:bookmarkEnd w:id="27"/>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（一）</w:t>
      </w:r>
      <w:r>
        <w:rPr>
          <w:rFonts w:hint="eastAsia" w:ascii="微软雅黑" w:hAnsi="微软雅黑" w:eastAsia="微软雅黑" w:cs="微软雅黑"/>
          <w:color w:val="auto"/>
          <w:sz w:val="24"/>
          <w:szCs w:val="24"/>
          <w:highlight w:val="none"/>
        </w:rPr>
        <w:t>采购人：重庆市会展服务中心</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游老师</w:t>
      </w:r>
    </w:p>
    <w:p>
      <w:pPr>
        <w:snapToGrid w:val="0"/>
        <w:spacing w:line="420" w:lineRule="exact"/>
        <w:ind w:firstLine="120" w:firstLineChars="5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18084088877</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  址：重庆市江北区建新北路65号外经贸大厦</w:t>
      </w:r>
    </w:p>
    <w:p>
      <w:pPr>
        <w:snapToGrid w:val="0"/>
        <w:spacing w:line="420" w:lineRule="exact"/>
        <w:ind w:firstLine="120" w:firstLineChars="5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（二）采购代理机构：</w:t>
      </w:r>
      <w:r>
        <w:rPr>
          <w:rFonts w:hint="eastAsia" w:ascii="微软雅黑" w:hAnsi="微软雅黑" w:eastAsia="微软雅黑" w:cs="微软雅黑"/>
          <w:color w:val="auto"/>
          <w:sz w:val="24"/>
          <w:szCs w:val="24"/>
          <w:highlight w:val="none"/>
          <w:lang w:eastAsia="zh-CN"/>
        </w:rPr>
        <w:t>重庆杨川建筑工程咨询有限公司</w:t>
      </w:r>
    </w:p>
    <w:p>
      <w:pPr>
        <w:snapToGrid w:val="0"/>
        <w:spacing w:line="420" w:lineRule="exact"/>
        <w:ind w:firstLine="120" w:firstLineChars="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eastAsia="zh-CN"/>
        </w:rPr>
        <w:t>沈</w:t>
      </w:r>
      <w:r>
        <w:rPr>
          <w:rFonts w:hint="eastAsia" w:ascii="微软雅黑" w:hAnsi="微软雅黑" w:eastAsia="微软雅黑" w:cs="微软雅黑"/>
          <w:color w:val="auto"/>
          <w:sz w:val="24"/>
          <w:szCs w:val="24"/>
          <w:highlight w:val="none"/>
        </w:rPr>
        <w:t>老师</w:t>
      </w:r>
    </w:p>
    <w:p>
      <w:pPr>
        <w:snapToGrid w:val="0"/>
        <w:spacing w:line="420" w:lineRule="exact"/>
        <w:ind w:firstLine="120" w:firstLineChars="5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话：023-8816</w:t>
      </w:r>
      <w:r>
        <w:rPr>
          <w:rFonts w:hint="eastAsia" w:ascii="微软雅黑" w:hAnsi="微软雅黑" w:eastAsia="微软雅黑" w:cs="微软雅黑"/>
          <w:color w:val="auto"/>
          <w:sz w:val="24"/>
          <w:szCs w:val="24"/>
          <w:highlight w:val="none"/>
          <w:lang w:val="en-US" w:eastAsia="zh-CN"/>
        </w:rPr>
        <w:t>6383</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15223197845</w:t>
      </w:r>
      <w:r>
        <w:rPr>
          <w:rFonts w:hint="eastAsia" w:ascii="微软雅黑" w:hAnsi="微软雅黑" w:eastAsia="微软雅黑" w:cs="微软雅黑"/>
          <w:color w:val="auto"/>
          <w:sz w:val="24"/>
          <w:szCs w:val="24"/>
          <w:highlight w:val="none"/>
          <w:lang w:eastAsia="zh-CN"/>
        </w:rPr>
        <w:t>）</w:t>
      </w:r>
    </w:p>
    <w:p>
      <w:pPr>
        <w:snapToGrid w:val="0"/>
        <w:spacing w:before="0" w:after="0" w:line="420" w:lineRule="exact"/>
        <w:ind w:firstLine="120" w:firstLineChars="5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  真：023-88166360</w:t>
      </w:r>
    </w:p>
    <w:p>
      <w:pPr>
        <w:snapToGrid w:val="0"/>
        <w:spacing w:before="0" w:after="0" w:line="420" w:lineRule="exact"/>
        <w:ind w:firstLine="120" w:firstLineChars="50"/>
        <w:jc w:val="left"/>
        <w:rPr>
          <w:rFonts w:hint="eastAsia" w:ascii="微软雅黑" w:hAnsi="微软雅黑" w:eastAsia="微软雅黑" w:cs="微软雅黑"/>
          <w:b w:val="0"/>
          <w:color w:val="auto"/>
          <w:sz w:val="24"/>
          <w:szCs w:val="24"/>
          <w:highlight w:val="none"/>
        </w:rPr>
      </w:pPr>
      <w:r>
        <w:rPr>
          <w:rFonts w:hint="eastAsia" w:ascii="微软雅黑" w:hAnsi="微软雅黑" w:eastAsia="微软雅黑" w:cs="微软雅黑"/>
          <w:color w:val="auto"/>
          <w:sz w:val="24"/>
          <w:szCs w:val="24"/>
          <w:highlight w:val="none"/>
        </w:rPr>
        <w:t>地  址：重庆市渝北区财富金融中心FFC</w:t>
      </w: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楼</w:t>
      </w:r>
      <w:r>
        <w:rPr>
          <w:rFonts w:hint="eastAsia" w:ascii="微软雅黑" w:hAnsi="微软雅黑" w:eastAsia="微软雅黑" w:cs="微软雅黑"/>
          <w:color w:val="auto"/>
          <w:sz w:val="24"/>
          <w:szCs w:val="24"/>
          <w:highlight w:val="none"/>
          <w:lang w:val="en-US" w:eastAsia="zh-CN"/>
        </w:rPr>
        <w:t>403</w:t>
      </w:r>
    </w:p>
    <w:p>
      <w:pPr>
        <w:bidi w:val="0"/>
      </w:pPr>
    </w:p>
    <w:p/>
    <w:p>
      <w:pPr>
        <w:bidi w:val="0"/>
      </w:pPr>
    </w:p>
    <w:p/>
    <w:p>
      <w:pPr>
        <w:rPr>
          <w:rFonts w:hint="eastAsia" w:ascii="微软雅黑" w:hAnsi="微软雅黑" w:eastAsia="微软雅黑" w:cs="微软雅黑"/>
          <w:b w:val="0"/>
          <w:sz w:val="36"/>
          <w:szCs w:val="30"/>
          <w:highlight w:val="none"/>
        </w:rPr>
      </w:pPr>
      <w:bookmarkStart w:id="28" w:name="_Toc54353611"/>
      <w:r>
        <w:rPr>
          <w:rFonts w:hint="eastAsia" w:ascii="微软雅黑" w:hAnsi="微软雅黑" w:eastAsia="微软雅黑" w:cs="微软雅黑"/>
          <w:b w:val="0"/>
          <w:sz w:val="36"/>
          <w:szCs w:val="30"/>
          <w:highlight w:val="none"/>
        </w:rPr>
        <w:br w:type="page"/>
      </w:r>
    </w:p>
    <w:p>
      <w:pPr>
        <w:pStyle w:val="4"/>
        <w:spacing w:before="0" w:after="0" w:line="360" w:lineRule="auto"/>
        <w:ind w:left="0" w:leftChars="0" w:firstLine="0" w:firstLineChars="0"/>
        <w:jc w:val="center"/>
        <w:rPr>
          <w:rFonts w:hint="eastAsia" w:ascii="微软雅黑" w:hAnsi="微软雅黑" w:eastAsia="微软雅黑" w:cs="微软雅黑"/>
          <w:b w:val="0"/>
          <w:color w:val="auto"/>
          <w:sz w:val="30"/>
          <w:szCs w:val="30"/>
          <w:highlight w:val="none"/>
        </w:rPr>
      </w:pPr>
      <w:bookmarkStart w:id="29" w:name="_Toc18377"/>
      <w:r>
        <w:rPr>
          <w:rFonts w:hint="eastAsia" w:ascii="微软雅黑" w:hAnsi="微软雅黑" w:eastAsia="微软雅黑" w:cs="微软雅黑"/>
          <w:b w:val="0"/>
          <w:color w:val="auto"/>
          <w:sz w:val="36"/>
          <w:szCs w:val="30"/>
          <w:highlight w:val="none"/>
        </w:rPr>
        <w:t>第二篇  项目服务需求</w:t>
      </w:r>
      <w:bookmarkEnd w:id="28"/>
      <w:bookmarkEnd w:id="29"/>
    </w:p>
    <w:p>
      <w:pPr>
        <w:pageBreakBefore w:val="0"/>
        <w:widowControl w:val="0"/>
        <w:kinsoku/>
        <w:wordWrap/>
        <w:overflowPunct/>
        <w:topLinePunct w:val="0"/>
        <w:autoSpaceDE/>
        <w:autoSpaceDN/>
        <w:bidi w:val="0"/>
        <w:spacing w:line="400" w:lineRule="exact"/>
        <w:ind w:firstLine="480" w:firstLineChars="200"/>
        <w:textAlignment w:val="auto"/>
        <w:rPr>
          <w:rFonts w:hint="eastAsia" w:ascii="微软雅黑" w:hAnsi="微软雅黑" w:eastAsia="微软雅黑" w:cs="微软雅黑"/>
          <w:b/>
          <w:bCs/>
          <w:color w:val="auto"/>
          <w:sz w:val="24"/>
          <w:szCs w:val="24"/>
          <w:highlight w:val="none"/>
        </w:rPr>
      </w:pPr>
      <w:bookmarkStart w:id="30" w:name="_Toc54353612"/>
      <w:r>
        <w:rPr>
          <w:rFonts w:hint="eastAsia" w:ascii="微软雅黑" w:hAnsi="微软雅黑" w:eastAsia="微软雅黑" w:cs="微软雅黑"/>
          <w:b/>
          <w:bCs/>
          <w:color w:val="auto"/>
          <w:sz w:val="24"/>
          <w:szCs w:val="24"/>
          <w:highlight w:val="none"/>
        </w:rPr>
        <w:t>一、项目基本概况介绍</w:t>
      </w:r>
      <w:bookmarkEnd w:id="30"/>
    </w:p>
    <w:p>
      <w:pPr>
        <w:keepNext w:val="0"/>
        <w:keepLines w:val="0"/>
        <w:widowControl/>
        <w:numPr>
          <w:ilvl w:val="0"/>
          <w:numId w:val="0"/>
        </w:numPr>
        <w:suppressLineNumbers w:val="0"/>
        <w:spacing w:line="360" w:lineRule="auto"/>
        <w:ind w:firstLine="480" w:firstLineChars="200"/>
        <w:jc w:val="lef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2023中国国际智能产业博览会（以下简称“智博会”）将于9月4日—6日举办。按照智博会承委办分工要求，智博会招商签约相关工作，主要为招商签约活动方案拟定和组织实施、往届智博会签约成果展示、有关部门推介三个方面。</w:t>
      </w:r>
      <w:bookmarkStart w:id="31" w:name="_Toc54353614"/>
    </w:p>
    <w:p>
      <w:pPr>
        <w:pageBreakBefore w:val="0"/>
        <w:widowControl w:val="0"/>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ascii="微软雅黑" w:hAnsi="微软雅黑" w:eastAsia="微软雅黑" w:cs="微软雅黑"/>
          <w:b/>
          <w:bCs/>
          <w:color w:val="auto"/>
          <w:sz w:val="24"/>
          <w:szCs w:val="24"/>
          <w:highlight w:val="none"/>
          <w:lang w:eastAsia="zh-CN"/>
        </w:rPr>
        <w:t>二、服务范围、要求及标准</w:t>
      </w:r>
    </w:p>
    <w:p>
      <w:pPr>
        <w:keepNext w:val="0"/>
        <w:keepLines w:val="0"/>
        <w:widowControl/>
        <w:numPr>
          <w:ilvl w:val="0"/>
          <w:numId w:val="0"/>
        </w:numPr>
        <w:suppressLineNumbers w:val="0"/>
        <w:spacing w:line="360" w:lineRule="auto"/>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（一）负责2023中国国际智能产业博览会重大项目集中签约活动宣传推广工作的策划与执行。</w:t>
      </w:r>
    </w:p>
    <w:p>
      <w:pPr>
        <w:pStyle w:val="2"/>
        <w:spacing w:line="360" w:lineRule="auto"/>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1、提供具有可执行的宣传策划细案</w:t>
      </w:r>
    </w:p>
    <w:p>
      <w:pPr>
        <w:spacing w:line="360" w:lineRule="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2、有专业团队人员负责本次活动，不低于4人。</w:t>
      </w:r>
    </w:p>
    <w:p>
      <w:pPr>
        <w:keepNext w:val="0"/>
        <w:keepLines w:val="0"/>
        <w:widowControl/>
        <w:numPr>
          <w:ilvl w:val="0"/>
          <w:numId w:val="0"/>
        </w:numPr>
        <w:suppressLineNumbers w:val="0"/>
        <w:spacing w:line="360" w:lineRule="auto"/>
        <w:ind w:firstLine="480" w:firstLineChars="200"/>
        <w:jc w:val="lef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（二）本次宣传采用</w:t>
      </w:r>
      <w:r>
        <w:rPr>
          <w:rFonts w:hint="default" w:ascii="微软雅黑" w:hAnsi="微软雅黑" w:eastAsia="微软雅黑" w:cs="微软雅黑"/>
          <w:color w:val="auto"/>
          <w:kern w:val="2"/>
          <w:sz w:val="24"/>
          <w:szCs w:val="24"/>
          <w:highlight w:val="none"/>
          <w:lang w:val="en-US" w:eastAsia="zh-CN" w:bidi="ar-SA"/>
        </w:rPr>
        <w:t>手机端新闻、PC端新闻、电视新闻、报纸等具有权威性且能够承载深度沟通的媒介，同时结合汽车类专业媒体进行深度报道。</w:t>
      </w:r>
    </w:p>
    <w:p>
      <w:pPr>
        <w:spacing w:line="360" w:lineRule="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提升活动影响力和美誉度。</w:t>
      </w:r>
    </w:p>
    <w:p>
      <w:pPr>
        <w:pStyle w:val="2"/>
        <w:spacing w:line="360" w:lineRule="auto"/>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1、重庆市级主流媒体要进行专题搭建1个</w:t>
      </w:r>
    </w:p>
    <w:p>
      <w:pPr>
        <w:pStyle w:val="2"/>
        <w:spacing w:line="360" w:lineRule="auto"/>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2、媒体所属自媒体矩阵，包括但不限于微信公众号、视频号、抖音号，合计不低于5次。</w:t>
      </w:r>
    </w:p>
    <w:p>
      <w:pPr>
        <w:spacing w:line="360" w:lineRule="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3、原创图文内容不低于4次，含中英文新闻通稿1篇。</w:t>
      </w:r>
    </w:p>
    <w:p>
      <w:pPr>
        <w:pStyle w:val="2"/>
        <w:numPr>
          <w:ilvl w:val="0"/>
          <w:numId w:val="0"/>
        </w:numPr>
        <w:spacing w:line="360" w:lineRule="auto"/>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4、根据活动设计、制作相关宣传物料，其中长图1张，短视频2个、2-3分钟视频1个。</w:t>
      </w:r>
    </w:p>
    <w:p>
      <w:pPr>
        <w:spacing w:line="360" w:lineRule="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5、国内主流媒体及门户网站进行内容统一宣发；</w:t>
      </w:r>
    </w:p>
    <w:p>
      <w:pPr>
        <w:pStyle w:val="2"/>
        <w:numPr>
          <w:ilvl w:val="0"/>
          <w:numId w:val="0"/>
        </w:numPr>
        <w:spacing w:line="360" w:lineRule="auto"/>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6、组织在汽车领域有影响力的自媒体进行内容制作以及宣传，自媒体大V撰稿不低于3篇；自媒体分发不低于120次。</w:t>
      </w:r>
    </w:p>
    <w:p>
      <w:pPr>
        <w:pStyle w:val="2"/>
        <w:numPr>
          <w:ilvl w:val="0"/>
          <w:numId w:val="0"/>
        </w:numPr>
        <w:spacing w:line="360" w:lineRule="auto"/>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7、新媒体展播，图集1次。</w:t>
      </w:r>
    </w:p>
    <w:p>
      <w:pPr>
        <w:pStyle w:val="2"/>
        <w:numPr>
          <w:ilvl w:val="0"/>
          <w:numId w:val="0"/>
        </w:numPr>
        <w:spacing w:line="360" w:lineRule="auto"/>
        <w:jc w:val="both"/>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8、电子图集 1个</w:t>
      </w:r>
    </w:p>
    <w:p>
      <w:pPr>
        <w:pStyle w:val="4"/>
        <w:spacing w:before="0" w:after="0" w:line="360" w:lineRule="auto"/>
        <w:ind w:left="0" w:leftChars="0" w:firstLine="0" w:firstLineChars="0"/>
        <w:jc w:val="center"/>
        <w:rPr>
          <w:rFonts w:hint="eastAsia" w:ascii="微软雅黑" w:hAnsi="微软雅黑" w:eastAsia="微软雅黑" w:cs="微软雅黑"/>
          <w:color w:val="auto"/>
          <w:kern w:val="2"/>
          <w:sz w:val="24"/>
          <w:szCs w:val="24"/>
          <w:highlight w:val="none"/>
          <w:lang w:val="en-US" w:eastAsia="zh-CN" w:bidi="ar-SA"/>
        </w:rPr>
      </w:pPr>
      <w:bookmarkStart w:id="32" w:name="_Toc29410"/>
    </w:p>
    <w:p>
      <w:pPr>
        <w:pStyle w:val="4"/>
        <w:spacing w:before="0" w:after="0" w:line="360" w:lineRule="auto"/>
        <w:ind w:left="0" w:leftChars="0" w:firstLine="0" w:firstLineChars="0"/>
        <w:jc w:val="center"/>
        <w:rPr>
          <w:rFonts w:hint="eastAsia" w:ascii="微软雅黑" w:hAnsi="微软雅黑" w:eastAsia="微软雅黑" w:cs="微软雅黑"/>
          <w:b w:val="0"/>
          <w:color w:val="auto"/>
          <w:sz w:val="36"/>
          <w:szCs w:val="30"/>
          <w:highlight w:val="none"/>
          <w:lang w:val="en-US" w:eastAsia="zh-CN"/>
        </w:rPr>
      </w:pPr>
      <w:r>
        <w:rPr>
          <w:rFonts w:hint="eastAsia" w:ascii="微软雅黑" w:hAnsi="微软雅黑" w:eastAsia="微软雅黑" w:cs="微软雅黑"/>
          <w:b w:val="0"/>
          <w:color w:val="auto"/>
          <w:sz w:val="36"/>
          <w:szCs w:val="30"/>
          <w:highlight w:val="none"/>
          <w:lang w:val="en-US" w:eastAsia="zh-CN"/>
        </w:rPr>
        <w:t>第三篇  项目商务需求</w:t>
      </w:r>
      <w:bookmarkEnd w:id="31"/>
      <w:bookmarkEnd w:id="32"/>
      <w:bookmarkStart w:id="33" w:name="_Toc54353615"/>
      <w:bookmarkStart w:id="34" w:name="_Toc344475120"/>
    </w:p>
    <w:bookmarkEnd w:id="33"/>
    <w:bookmarkEnd w:id="34"/>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bookmarkStart w:id="35" w:name="_Toc19223"/>
      <w:bookmarkStart w:id="36" w:name="_Toc98836041"/>
      <w:bookmarkStart w:id="37" w:name="_Toc344475121"/>
      <w:bookmarkStart w:id="38" w:name="_Toc54353616"/>
      <w:r>
        <w:rPr>
          <w:rFonts w:hint="eastAsia" w:ascii="微软雅黑" w:hAnsi="微软雅黑" w:eastAsia="微软雅黑" w:cs="微软雅黑"/>
          <w:color w:val="auto"/>
          <w:kern w:val="2"/>
          <w:sz w:val="24"/>
          <w:szCs w:val="24"/>
          <w:highlight w:val="none"/>
          <w:lang w:val="en-US" w:eastAsia="zh-CN" w:bidi="ar-SA"/>
        </w:rPr>
        <w:t>一、服务期地点及验收方式</w:t>
      </w:r>
      <w:bookmarkEnd w:id="35"/>
      <w:bookmarkEnd w:id="36"/>
    </w:p>
    <w:p>
      <w:pPr>
        <w:snapToGrid/>
        <w:spacing w:line="500" w:lineRule="exact"/>
        <w:ind w:firstLine="482"/>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（一）服务时间：采购人指定时间</w:t>
      </w:r>
    </w:p>
    <w:p>
      <w:pPr>
        <w:snapToGrid/>
        <w:spacing w:line="500" w:lineRule="exact"/>
        <w:ind w:firstLine="482"/>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（二）服务地点：采购人指定地点</w:t>
      </w:r>
    </w:p>
    <w:p>
      <w:pPr>
        <w:snapToGrid/>
        <w:spacing w:line="500" w:lineRule="exact"/>
        <w:ind w:firstLine="482"/>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（三）验收方式：提供结案报告</w:t>
      </w:r>
    </w:p>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w:t>
      </w:r>
      <w:bookmarkEnd w:id="37"/>
      <w:r>
        <w:rPr>
          <w:rFonts w:hint="eastAsia" w:ascii="微软雅黑" w:hAnsi="微软雅黑" w:eastAsia="微软雅黑" w:cs="微软雅黑"/>
          <w:color w:val="auto"/>
          <w:kern w:val="2"/>
          <w:sz w:val="24"/>
          <w:szCs w:val="24"/>
          <w:highlight w:val="none"/>
          <w:lang w:val="en-US" w:eastAsia="zh-CN" w:bidi="ar-SA"/>
        </w:rPr>
        <w:t>报价要求</w:t>
      </w:r>
      <w:bookmarkEnd w:id="38"/>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bookmarkStart w:id="39" w:name="_Toc54353617"/>
      <w:r>
        <w:rPr>
          <w:rFonts w:hint="eastAsia" w:ascii="微软雅黑" w:hAnsi="微软雅黑" w:eastAsia="微软雅黑" w:cs="微软雅黑"/>
          <w:color w:val="auto"/>
          <w:kern w:val="2"/>
          <w:sz w:val="24"/>
          <w:szCs w:val="24"/>
          <w:highlight w:val="none"/>
          <w:lang w:val="en-US" w:eastAsia="zh-CN" w:bidi="ar-SA"/>
        </w:rPr>
        <w:t>本次比选报价为人民币报价，报价为供应商对比选文件所确定的全部工作内容包干价，包含：人工费、通讯费、交通费、税费、辅助材料费、机械费等履行完本项目的所有费用。采购人除此外不支付其他费用，因供应商自身原因造成漏报、少报皆由供应商自行承担，采购人不再补偿。</w:t>
      </w:r>
    </w:p>
    <w:bookmarkEnd w:id="39"/>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bookmarkStart w:id="40" w:name="_Toc344475122"/>
      <w:bookmarkStart w:id="41" w:name="_Toc54353618"/>
      <w:r>
        <w:rPr>
          <w:rFonts w:hint="eastAsia" w:ascii="微软雅黑" w:hAnsi="微软雅黑" w:eastAsia="微软雅黑" w:cs="微软雅黑"/>
          <w:color w:val="auto"/>
          <w:kern w:val="2"/>
          <w:sz w:val="24"/>
          <w:szCs w:val="24"/>
          <w:highlight w:val="none"/>
          <w:lang w:val="en-US" w:eastAsia="zh-CN" w:bidi="ar-SA"/>
        </w:rPr>
        <w:t>三、付款方式</w:t>
      </w:r>
      <w:bookmarkEnd w:id="40"/>
      <w:bookmarkEnd w:id="41"/>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bookmarkStart w:id="42" w:name="_Toc98836044"/>
      <w:bookmarkStart w:id="43" w:name="_Toc10123"/>
      <w:bookmarkStart w:id="44" w:name="_Toc344475123"/>
      <w:bookmarkStart w:id="45" w:name="_Toc54353619"/>
      <w:r>
        <w:rPr>
          <w:rFonts w:hint="eastAsia" w:ascii="微软雅黑" w:hAnsi="微软雅黑" w:eastAsia="微软雅黑" w:cs="微软雅黑"/>
          <w:color w:val="auto"/>
          <w:sz w:val="24"/>
          <w:szCs w:val="24"/>
          <w:highlight w:val="none"/>
        </w:rPr>
        <w:t>项目完成验收通过后</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个工作日内</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按</w:t>
      </w:r>
      <w:r>
        <w:rPr>
          <w:rFonts w:hint="eastAsia" w:ascii="微软雅黑" w:hAnsi="微软雅黑" w:eastAsia="微软雅黑" w:cs="微软雅黑"/>
          <w:color w:val="auto"/>
          <w:sz w:val="24"/>
          <w:szCs w:val="24"/>
          <w:highlight w:val="none"/>
        </w:rPr>
        <w:t>合同金额</w:t>
      </w:r>
      <w:r>
        <w:rPr>
          <w:rFonts w:hint="eastAsia" w:ascii="微软雅黑" w:hAnsi="微软雅黑" w:eastAsia="微软雅黑" w:cs="微软雅黑"/>
          <w:color w:val="auto"/>
          <w:sz w:val="24"/>
          <w:szCs w:val="24"/>
          <w:highlight w:val="none"/>
          <w:lang w:val="en-US" w:eastAsia="zh-CN"/>
        </w:rPr>
        <w:t>支付乙方全部费用</w:t>
      </w:r>
      <w:r>
        <w:rPr>
          <w:rFonts w:hint="eastAsia" w:ascii="微软雅黑" w:hAnsi="微软雅黑" w:eastAsia="微软雅黑" w:cs="微软雅黑"/>
          <w:color w:val="auto"/>
          <w:sz w:val="24"/>
          <w:szCs w:val="24"/>
          <w:highlight w:val="none"/>
        </w:rPr>
        <w:t>。</w:t>
      </w:r>
    </w:p>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四、保密要求</w:t>
      </w:r>
      <w:bookmarkEnd w:id="42"/>
      <w:bookmarkEnd w:id="43"/>
    </w:p>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成交供应商及其参与本项目的所有相关人员，应对服务期内涉及的所有内容保密。</w:t>
      </w:r>
    </w:p>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五、知识产权</w:t>
      </w:r>
      <w:bookmarkEnd w:id="44"/>
      <w:bookmarkEnd w:id="45"/>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注：（若涉及软件开发等服务类项目知识产权的，知识产权归采购人所有）。</w:t>
      </w:r>
    </w:p>
    <w:p>
      <w:pPr>
        <w:spacing w:before="0" w:after="0" w:line="500" w:lineRule="exact"/>
        <w:ind w:firstLine="482"/>
        <w:rPr>
          <w:rFonts w:hint="eastAsia" w:ascii="微软雅黑" w:hAnsi="微软雅黑" w:eastAsia="微软雅黑" w:cs="微软雅黑"/>
          <w:color w:val="auto"/>
          <w:kern w:val="2"/>
          <w:sz w:val="24"/>
          <w:szCs w:val="24"/>
          <w:highlight w:val="none"/>
          <w:lang w:val="en-US" w:eastAsia="zh-CN" w:bidi="ar-SA"/>
        </w:rPr>
      </w:pPr>
      <w:bookmarkStart w:id="46" w:name="_Toc344475124"/>
      <w:bookmarkStart w:id="47" w:name="_Toc54353620"/>
      <w:r>
        <w:rPr>
          <w:rFonts w:hint="eastAsia" w:ascii="微软雅黑" w:hAnsi="微软雅黑" w:eastAsia="微软雅黑" w:cs="微软雅黑"/>
          <w:color w:val="auto"/>
          <w:kern w:val="2"/>
          <w:sz w:val="24"/>
          <w:szCs w:val="24"/>
          <w:highlight w:val="none"/>
          <w:lang w:val="en-US" w:eastAsia="zh-CN" w:bidi="ar-SA"/>
        </w:rPr>
        <w:t>六、</w:t>
      </w:r>
      <w:bookmarkEnd w:id="46"/>
      <w:bookmarkStart w:id="48" w:name="_Toc344475125"/>
      <w:r>
        <w:rPr>
          <w:rFonts w:hint="eastAsia" w:ascii="微软雅黑" w:hAnsi="微软雅黑" w:eastAsia="微软雅黑" w:cs="微软雅黑"/>
          <w:color w:val="auto"/>
          <w:kern w:val="2"/>
          <w:sz w:val="24"/>
          <w:szCs w:val="24"/>
          <w:highlight w:val="none"/>
          <w:lang w:val="en-US" w:eastAsia="zh-CN" w:bidi="ar-SA"/>
        </w:rPr>
        <w:t>其他</w:t>
      </w:r>
      <w:bookmarkEnd w:id="47"/>
      <w:bookmarkEnd w:id="48"/>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（一）竞标人必须在响应文件中对以上条款和服务承诺明确列出，承诺内容必须达到本篇及竞争性比选文件其他条款的要求。</w:t>
      </w:r>
    </w:p>
    <w:p>
      <w:pPr>
        <w:snapToGrid/>
        <w:spacing w:line="500" w:lineRule="exact"/>
        <w:ind w:firstLine="48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（二）其他未尽事宜由供需双方在采购合同中详细约定。</w:t>
      </w:r>
    </w:p>
    <w:p>
      <w:pPr>
        <w:pStyle w:val="5"/>
        <w:rPr>
          <w:rFonts w:hint="eastAsia"/>
          <w:color w:val="FF0000"/>
          <w:highlight w:val="none"/>
        </w:rPr>
        <w:sectPr>
          <w:footerReference r:id="rId3" w:type="default"/>
          <w:footerReference r:id="rId4" w:type="even"/>
          <w:pgSz w:w="11907" w:h="16840"/>
          <w:pgMar w:top="1134" w:right="1191" w:bottom="1134" w:left="1304" w:header="964" w:footer="992" w:gutter="0"/>
          <w:pgNumType w:fmt="decimal"/>
          <w:cols w:space="720" w:num="1"/>
          <w:docGrid w:linePitch="312" w:charSpace="0"/>
        </w:sectPr>
      </w:pPr>
    </w:p>
    <w:p>
      <w:pPr>
        <w:pStyle w:val="4"/>
        <w:pageBreakBefore w:val="0"/>
        <w:spacing w:before="0" w:after="0" w:line="360" w:lineRule="auto"/>
        <w:ind w:firstLine="0" w:firstLineChars="0"/>
        <w:jc w:val="both"/>
        <w:rPr>
          <w:rFonts w:hint="eastAsia" w:ascii="微软雅黑" w:hAnsi="微软雅黑" w:eastAsia="微软雅黑" w:cs="微软雅黑"/>
          <w:b w:val="0"/>
          <w:sz w:val="36"/>
          <w:szCs w:val="30"/>
          <w:highlight w:val="none"/>
        </w:rPr>
      </w:pPr>
      <w:bookmarkStart w:id="49" w:name="_Toc23008"/>
      <w:bookmarkStart w:id="50" w:name="_Toc54353621"/>
      <w:r>
        <w:rPr>
          <w:rFonts w:hint="eastAsia" w:ascii="微软雅黑" w:hAnsi="微软雅黑" w:eastAsia="微软雅黑" w:cs="微软雅黑"/>
          <w:b w:val="0"/>
          <w:sz w:val="36"/>
          <w:szCs w:val="30"/>
          <w:highlight w:val="none"/>
        </w:rPr>
        <w:t xml:space="preserve">第四篇  </w:t>
      </w:r>
      <w:r>
        <w:rPr>
          <w:rFonts w:hint="eastAsia" w:ascii="微软雅黑" w:hAnsi="微软雅黑" w:eastAsia="微软雅黑" w:cs="微软雅黑"/>
          <w:b w:val="0"/>
          <w:sz w:val="36"/>
          <w:szCs w:val="30"/>
          <w:highlight w:val="none"/>
          <w:lang w:eastAsia="zh-CN"/>
        </w:rPr>
        <w:t>比选</w:t>
      </w:r>
      <w:r>
        <w:rPr>
          <w:rFonts w:hint="eastAsia" w:ascii="微软雅黑" w:hAnsi="微软雅黑" w:eastAsia="微软雅黑" w:cs="微软雅黑"/>
          <w:b w:val="0"/>
          <w:sz w:val="36"/>
          <w:szCs w:val="30"/>
          <w:highlight w:val="none"/>
        </w:rPr>
        <w:t>程序及方法、评审标准、无效响应和</w:t>
      </w:r>
      <w:r>
        <w:rPr>
          <w:rFonts w:hint="eastAsia" w:ascii="微软雅黑" w:hAnsi="微软雅黑" w:eastAsia="微软雅黑" w:cs="微软雅黑"/>
          <w:b w:val="0"/>
          <w:sz w:val="36"/>
          <w:szCs w:val="36"/>
          <w:highlight w:val="none"/>
        </w:rPr>
        <w:t>采购终止</w:t>
      </w:r>
      <w:bookmarkEnd w:id="49"/>
      <w:bookmarkEnd w:id="50"/>
    </w:p>
    <w:p>
      <w:pPr>
        <w:spacing w:before="0" w:after="0" w:line="500" w:lineRule="exact"/>
        <w:ind w:firstLine="480" w:firstLineChars="200"/>
        <w:rPr>
          <w:rFonts w:hint="eastAsia" w:ascii="微软雅黑" w:hAnsi="微软雅黑" w:eastAsia="微软雅黑" w:cs="微软雅黑"/>
          <w:b/>
          <w:bCs/>
          <w:color w:val="auto"/>
          <w:sz w:val="24"/>
          <w:szCs w:val="24"/>
          <w:highlight w:val="none"/>
        </w:rPr>
      </w:pPr>
      <w:bookmarkStart w:id="51" w:name="_Toc54353622"/>
      <w:r>
        <w:rPr>
          <w:rFonts w:hint="eastAsia" w:ascii="微软雅黑" w:hAnsi="微软雅黑" w:eastAsia="微软雅黑" w:cs="微软雅黑"/>
          <w:b/>
          <w:bCs/>
          <w:color w:val="auto"/>
          <w:sz w:val="24"/>
          <w:szCs w:val="24"/>
          <w:highlight w:val="none"/>
        </w:rPr>
        <w:t>一、</w:t>
      </w:r>
      <w:r>
        <w:rPr>
          <w:rFonts w:hint="eastAsia" w:ascii="微软雅黑" w:hAnsi="微软雅黑" w:eastAsia="微软雅黑" w:cs="微软雅黑"/>
          <w:b/>
          <w:bCs/>
          <w:color w:val="auto"/>
          <w:sz w:val="24"/>
          <w:szCs w:val="24"/>
          <w:highlight w:val="none"/>
          <w:lang w:eastAsia="zh-CN"/>
        </w:rPr>
        <w:t>比选</w:t>
      </w:r>
      <w:r>
        <w:rPr>
          <w:rFonts w:hint="eastAsia" w:ascii="微软雅黑" w:hAnsi="微软雅黑" w:eastAsia="微软雅黑" w:cs="微软雅黑"/>
          <w:b/>
          <w:bCs/>
          <w:color w:val="auto"/>
          <w:sz w:val="24"/>
          <w:szCs w:val="24"/>
          <w:highlight w:val="none"/>
        </w:rPr>
        <w:t>程序及方法</w:t>
      </w:r>
      <w:bookmarkEnd w:id="51"/>
    </w:p>
    <w:p>
      <w:pPr>
        <w:spacing w:line="500" w:lineRule="exact"/>
        <w:ind w:firstLine="482"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按竞争性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文件规定的时间和地点进行，供应商须有法定代表人或其授权代表参加并签到。竞争性</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以供应商到达规定地点时间先后顺序确定</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顺序，由本项目依法组建的</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小组分别与各供应商进行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pPr>
        <w:spacing w:line="500" w:lineRule="exact"/>
        <w:ind w:firstLine="482"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小组对各供应商的资格条件、响应文件的有效性、完整性和响应程度进行审查。各供应商只有在完全符合要求的前提下，才能参与正式</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w:t>
      </w:r>
    </w:p>
    <w:p>
      <w:pPr>
        <w:snapToGrid/>
        <w:spacing w:line="500" w:lineRule="exact"/>
        <w:ind w:firstLine="482" w:firstLineChars="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2"/>
          <w:sz w:val="24"/>
          <w:szCs w:val="24"/>
          <w:highlight w:val="none"/>
        </w:rPr>
        <w:t>资格性检查。依据法律法规和竞争性</w:t>
      </w:r>
      <w:r>
        <w:rPr>
          <w:rFonts w:hint="eastAsia" w:ascii="微软雅黑" w:hAnsi="微软雅黑" w:eastAsia="微软雅黑" w:cs="微软雅黑"/>
          <w:color w:val="auto"/>
          <w:kern w:val="2"/>
          <w:sz w:val="24"/>
          <w:szCs w:val="24"/>
          <w:highlight w:val="none"/>
          <w:lang w:eastAsia="zh-CN"/>
        </w:rPr>
        <w:t>比选</w:t>
      </w:r>
      <w:r>
        <w:rPr>
          <w:rFonts w:hint="eastAsia" w:ascii="微软雅黑" w:hAnsi="微软雅黑" w:eastAsia="微软雅黑" w:cs="微软雅黑"/>
          <w:color w:val="auto"/>
          <w:kern w:val="2"/>
          <w:sz w:val="24"/>
          <w:szCs w:val="24"/>
          <w:highlight w:val="none"/>
        </w:rPr>
        <w:t>文件的规定，对响应文件中的资格证明、等进行审查，以确定供应商是否具备</w:t>
      </w:r>
      <w:r>
        <w:rPr>
          <w:rFonts w:hint="eastAsia" w:ascii="微软雅黑" w:hAnsi="微软雅黑" w:eastAsia="微软雅黑" w:cs="微软雅黑"/>
          <w:color w:val="auto"/>
          <w:kern w:val="2"/>
          <w:sz w:val="24"/>
          <w:szCs w:val="24"/>
          <w:highlight w:val="none"/>
          <w:lang w:eastAsia="zh-CN"/>
        </w:rPr>
        <w:t>比选</w:t>
      </w:r>
      <w:r>
        <w:rPr>
          <w:rFonts w:hint="eastAsia" w:ascii="微软雅黑" w:hAnsi="微软雅黑" w:eastAsia="微软雅黑" w:cs="微软雅黑"/>
          <w:color w:val="auto"/>
          <w:kern w:val="2"/>
          <w:sz w:val="24"/>
          <w:szCs w:val="24"/>
          <w:highlight w:val="none"/>
        </w:rPr>
        <w:t>资格。资格性检查资料表如下：</w:t>
      </w:r>
    </w:p>
    <w:tbl>
      <w:tblPr>
        <w:tblStyle w:val="1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pPr>
              <w:spacing w:line="240" w:lineRule="exact"/>
              <w:jc w:val="center"/>
              <w:rPr>
                <w:rFonts w:hint="eastAsia"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序号</w:t>
            </w:r>
          </w:p>
        </w:tc>
        <w:tc>
          <w:tcPr>
            <w:tcW w:w="5388" w:type="dxa"/>
            <w:gridSpan w:val="2"/>
            <w:noWrap w:val="0"/>
            <w:vAlign w:val="center"/>
          </w:tcPr>
          <w:p>
            <w:pPr>
              <w:spacing w:line="240" w:lineRule="exact"/>
              <w:jc w:val="center"/>
              <w:rPr>
                <w:rFonts w:hint="eastAsia"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检查因素</w:t>
            </w:r>
          </w:p>
        </w:tc>
        <w:tc>
          <w:tcPr>
            <w:tcW w:w="3831" w:type="dxa"/>
            <w:noWrap w:val="0"/>
            <w:vAlign w:val="center"/>
          </w:tcPr>
          <w:p>
            <w:pPr>
              <w:spacing w:line="240" w:lineRule="exact"/>
              <w:jc w:val="center"/>
              <w:rPr>
                <w:rFonts w:hint="eastAsia" w:ascii="微软雅黑" w:hAnsi="微软雅黑" w:eastAsia="微软雅黑" w:cs="微软雅黑"/>
                <w:b/>
                <w:kern w:val="0"/>
                <w:sz w:val="20"/>
                <w:szCs w:val="20"/>
                <w:highlight w:val="none"/>
              </w:rPr>
            </w:pPr>
            <w:r>
              <w:rPr>
                <w:rFonts w:hint="eastAsia" w:ascii="微软雅黑" w:hAnsi="微软雅黑" w:eastAsia="微软雅黑" w:cs="微软雅黑"/>
                <w:b/>
                <w:kern w:val="0"/>
                <w:sz w:val="20"/>
                <w:szCs w:val="20"/>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restart"/>
            <w:noWrap w:val="0"/>
            <w:vAlign w:val="center"/>
          </w:tcPr>
          <w:p>
            <w:pPr>
              <w:spacing w:line="240" w:lineRule="exact"/>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w:t>
            </w:r>
          </w:p>
        </w:tc>
        <w:tc>
          <w:tcPr>
            <w:tcW w:w="709" w:type="dxa"/>
            <w:vMerge w:val="restart"/>
            <w:noWrap w:val="0"/>
            <w:vAlign w:val="center"/>
          </w:tcPr>
          <w:p>
            <w:pPr>
              <w:spacing w:line="240" w:lineRule="exact"/>
              <w:rPr>
                <w:rFonts w:hint="eastAsia" w:ascii="微软雅黑" w:hAnsi="微软雅黑" w:eastAsia="微软雅黑" w:cs="微软雅黑"/>
                <w:sz w:val="20"/>
                <w:szCs w:val="20"/>
                <w:highlight w:val="none"/>
                <w:lang w:val="zh-CN"/>
              </w:rPr>
            </w:pPr>
            <w:r>
              <w:rPr>
                <w:rFonts w:hint="eastAsia" w:ascii="微软雅黑" w:hAnsi="微软雅黑" w:eastAsia="微软雅黑" w:cs="微软雅黑"/>
                <w:sz w:val="20"/>
                <w:szCs w:val="20"/>
                <w:highlight w:val="none"/>
              </w:rPr>
              <w:t>供应商</w:t>
            </w:r>
            <w:r>
              <w:rPr>
                <w:rFonts w:hint="eastAsia" w:ascii="微软雅黑" w:hAnsi="微软雅黑" w:eastAsia="微软雅黑" w:cs="微软雅黑"/>
                <w:sz w:val="20"/>
                <w:szCs w:val="20"/>
                <w:highlight w:val="none"/>
                <w:lang w:val="zh-CN"/>
              </w:rPr>
              <w:t>应符合的基本资格条件</w:t>
            </w:r>
          </w:p>
        </w:tc>
        <w:tc>
          <w:tcPr>
            <w:tcW w:w="4679" w:type="dxa"/>
            <w:noWrap w:val="0"/>
            <w:vAlign w:val="center"/>
          </w:tcPr>
          <w:p>
            <w:pPr>
              <w:spacing w:line="240" w:lineRule="exac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（1）具有独立承担民事责任的能力</w:t>
            </w:r>
          </w:p>
        </w:tc>
        <w:tc>
          <w:tcPr>
            <w:tcW w:w="3831" w:type="dxa"/>
            <w:noWrap w:val="0"/>
            <w:vAlign w:val="center"/>
          </w:tcPr>
          <w:p>
            <w:pPr>
              <w:spacing w:line="240" w:lineRule="exac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 xml:space="preserve">供应商法人营业执照（副本）或事业单位法人证书（副本）或个体工商户营业执照或有效的自然人身份证明或社会团体法人登记证书（提供复印件）； </w:t>
            </w:r>
          </w:p>
          <w:p>
            <w:pPr>
              <w:spacing w:line="240" w:lineRule="exac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微软雅黑" w:hAnsi="微软雅黑" w:eastAsia="微软雅黑" w:cs="微软雅黑"/>
                <w:sz w:val="20"/>
                <w:szCs w:val="20"/>
              </w:rPr>
            </w:pPr>
          </w:p>
        </w:tc>
        <w:tc>
          <w:tcPr>
            <w:tcW w:w="709"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4679" w:type="dxa"/>
            <w:noWrap w:val="0"/>
            <w:vAlign w:val="center"/>
          </w:tcPr>
          <w:p>
            <w:pPr>
              <w:spacing w:line="2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lang w:val="zh-CN"/>
              </w:rPr>
              <w:t>（2）</w:t>
            </w:r>
            <w:r>
              <w:rPr>
                <w:rFonts w:hint="eastAsia" w:ascii="微软雅黑" w:hAnsi="微软雅黑" w:eastAsia="微软雅黑" w:cs="微软雅黑"/>
                <w:sz w:val="20"/>
                <w:szCs w:val="20"/>
              </w:rPr>
              <w:t>具有良好的商业信誉和健全的财务会计制度</w:t>
            </w:r>
          </w:p>
        </w:tc>
        <w:tc>
          <w:tcPr>
            <w:tcW w:w="3831" w:type="dxa"/>
            <w:noWrap w:val="0"/>
            <w:vAlign w:val="center"/>
          </w:tcPr>
          <w:p>
            <w:pPr>
              <w:rPr>
                <w:rFonts w:hint="eastAsia"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微软雅黑" w:hAnsi="微软雅黑" w:eastAsia="微软雅黑" w:cs="微软雅黑"/>
                <w:sz w:val="20"/>
                <w:szCs w:val="20"/>
              </w:rPr>
            </w:pPr>
          </w:p>
        </w:tc>
        <w:tc>
          <w:tcPr>
            <w:tcW w:w="709"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4679" w:type="dxa"/>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sz w:val="20"/>
                <w:szCs w:val="20"/>
                <w:lang w:val="zh-CN"/>
              </w:rPr>
              <w:t>（3）具有履行合同所必需的设备和专业技术能力</w:t>
            </w:r>
          </w:p>
        </w:tc>
        <w:tc>
          <w:tcPr>
            <w:tcW w:w="3831" w:type="dxa"/>
            <w:noWrap w:val="0"/>
            <w:vAlign w:val="center"/>
          </w:tcPr>
          <w:p>
            <w:pPr>
              <w:rPr>
                <w:rFonts w:hint="eastAsia"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noWrap w:val="0"/>
            <w:vAlign w:val="center"/>
          </w:tcPr>
          <w:p>
            <w:pPr>
              <w:spacing w:line="240" w:lineRule="exact"/>
              <w:jc w:val="center"/>
              <w:rPr>
                <w:rFonts w:hint="eastAsia" w:ascii="微软雅黑" w:hAnsi="微软雅黑" w:eastAsia="微软雅黑" w:cs="微软雅黑"/>
                <w:sz w:val="20"/>
                <w:szCs w:val="20"/>
              </w:rPr>
            </w:pPr>
          </w:p>
        </w:tc>
        <w:tc>
          <w:tcPr>
            <w:tcW w:w="709"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4679" w:type="dxa"/>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sz w:val="20"/>
                <w:szCs w:val="20"/>
                <w:lang w:val="zh-CN"/>
              </w:rPr>
              <w:t>（4）有依法缴纳税收和社会保障金的良好记录</w:t>
            </w:r>
          </w:p>
        </w:tc>
        <w:tc>
          <w:tcPr>
            <w:tcW w:w="3831" w:type="dxa"/>
            <w:noWrap w:val="0"/>
            <w:vAlign w:val="center"/>
          </w:tcPr>
          <w:p>
            <w:pPr>
              <w:rPr>
                <w:rFonts w:hint="eastAsia"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pPr>
              <w:spacing w:line="240" w:lineRule="exact"/>
              <w:jc w:val="center"/>
              <w:rPr>
                <w:rFonts w:hint="eastAsia" w:ascii="微软雅黑" w:hAnsi="微软雅黑" w:eastAsia="微软雅黑" w:cs="微软雅黑"/>
                <w:sz w:val="20"/>
                <w:szCs w:val="20"/>
              </w:rPr>
            </w:pPr>
          </w:p>
        </w:tc>
        <w:tc>
          <w:tcPr>
            <w:tcW w:w="709"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4679" w:type="dxa"/>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sz w:val="20"/>
                <w:szCs w:val="20"/>
              </w:rPr>
              <w:t>（5）参加政府采购活动前三年内，在经营活动中没有重大违法记录（注</w:t>
            </w:r>
            <w:r>
              <w:rPr>
                <w:rFonts w:hint="eastAsia" w:ascii="微软雅黑" w:hAnsi="微软雅黑" w:eastAsia="微软雅黑" w:cs="微软雅黑"/>
                <w:kern w:val="0"/>
                <w:sz w:val="20"/>
                <w:szCs w:val="20"/>
              </w:rPr>
              <w:fldChar w:fldCharType="begin"/>
            </w:r>
            <w:r>
              <w:rPr>
                <w:rFonts w:hint="eastAsia" w:ascii="微软雅黑" w:hAnsi="微软雅黑" w:eastAsia="微软雅黑" w:cs="微软雅黑"/>
                <w:kern w:val="0"/>
                <w:sz w:val="20"/>
                <w:szCs w:val="20"/>
              </w:rPr>
              <w:instrText xml:space="preserve"> eq \o\ac(</w:instrText>
            </w:r>
            <w:r>
              <w:rPr>
                <w:rFonts w:hint="eastAsia" w:ascii="微软雅黑" w:hAnsi="微软雅黑" w:eastAsia="微软雅黑" w:cs="微软雅黑"/>
                <w:kern w:val="0"/>
                <w:position w:val="-4"/>
                <w:sz w:val="30"/>
                <w:szCs w:val="20"/>
              </w:rPr>
              <w:instrText xml:space="preserve">○</w:instrText>
            </w:r>
            <w:r>
              <w:rPr>
                <w:rFonts w:hint="eastAsia" w:ascii="微软雅黑" w:hAnsi="微软雅黑" w:eastAsia="微软雅黑" w:cs="微软雅黑"/>
                <w:kern w:val="0"/>
                <w:sz w:val="20"/>
                <w:szCs w:val="20"/>
              </w:rPr>
              <w:instrText xml:space="preserve">,</w:instrText>
            </w:r>
            <w:r>
              <w:rPr>
                <w:rFonts w:hint="eastAsia" w:ascii="微软雅黑" w:hAnsi="微软雅黑" w:eastAsia="微软雅黑" w:cs="微软雅黑"/>
                <w:kern w:val="0"/>
                <w:position w:val="0"/>
                <w:sz w:val="20"/>
                <w:szCs w:val="20"/>
              </w:rPr>
              <w:instrText xml:space="preserve">2</w:instrText>
            </w:r>
            <w:r>
              <w:rPr>
                <w:rFonts w:hint="eastAsia" w:ascii="微软雅黑" w:hAnsi="微软雅黑" w:eastAsia="微软雅黑" w:cs="微软雅黑"/>
                <w:kern w:val="0"/>
                <w:sz w:val="20"/>
                <w:szCs w:val="20"/>
              </w:rPr>
              <w:instrText xml:space="preserve">)</w:instrText>
            </w:r>
            <w:r>
              <w:rPr>
                <w:rFonts w:hint="eastAsia" w:ascii="微软雅黑" w:hAnsi="微软雅黑" w:eastAsia="微软雅黑" w:cs="微软雅黑"/>
                <w:kern w:val="0"/>
                <w:sz w:val="20"/>
                <w:szCs w:val="20"/>
              </w:rPr>
              <w:fldChar w:fldCharType="end"/>
            </w:r>
            <w:r>
              <w:rPr>
                <w:rFonts w:hint="eastAsia" w:ascii="微软雅黑" w:hAnsi="微软雅黑" w:eastAsia="微软雅黑" w:cs="微软雅黑"/>
                <w:sz w:val="20"/>
                <w:szCs w:val="20"/>
              </w:rPr>
              <w:t>）</w:t>
            </w:r>
          </w:p>
        </w:tc>
        <w:tc>
          <w:tcPr>
            <w:tcW w:w="3831" w:type="dxa"/>
            <w:noWrap w:val="0"/>
            <w:vAlign w:val="center"/>
          </w:tcPr>
          <w:p>
            <w:pPr>
              <w:rPr>
                <w:rFonts w:hint="eastAsia" w:ascii="微软雅黑" w:hAnsi="微软雅黑" w:eastAsia="微软雅黑" w:cs="微软雅黑"/>
                <w:sz w:val="20"/>
                <w:szCs w:val="20"/>
              </w:rPr>
            </w:pPr>
            <w:r>
              <w:rPr>
                <w:rFonts w:hint="eastAsia" w:ascii="微软雅黑" w:hAnsi="微软雅黑" w:eastAsia="微软雅黑" w:cs="微软雅黑"/>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pPr>
              <w:spacing w:line="240" w:lineRule="exact"/>
              <w:jc w:val="center"/>
              <w:rPr>
                <w:rFonts w:hint="eastAsia" w:ascii="微软雅黑" w:hAnsi="微软雅黑" w:eastAsia="微软雅黑" w:cs="微软雅黑"/>
                <w:sz w:val="20"/>
                <w:szCs w:val="20"/>
              </w:rPr>
            </w:pPr>
          </w:p>
        </w:tc>
        <w:tc>
          <w:tcPr>
            <w:tcW w:w="709"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4679" w:type="dxa"/>
            <w:noWrap w:val="0"/>
            <w:vAlign w:val="center"/>
          </w:tcPr>
          <w:p>
            <w:pPr>
              <w:spacing w:line="2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（6）法律、行政法规规定的其他条件</w:t>
            </w:r>
          </w:p>
        </w:tc>
        <w:tc>
          <w:tcPr>
            <w:tcW w:w="3831" w:type="dxa"/>
            <w:noWrap w:val="0"/>
            <w:vAlign w:val="center"/>
          </w:tcPr>
          <w:p>
            <w:pPr>
              <w:spacing w:line="500" w:lineRule="exact"/>
              <w:rPr>
                <w:rFonts w:hint="eastAsia" w:ascii="微软雅黑" w:hAnsi="微软雅黑" w:eastAsia="微软雅黑" w:cs="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6" w:type="dxa"/>
            <w:noWrap w:val="0"/>
            <w:vAlign w:val="center"/>
          </w:tcPr>
          <w:p>
            <w:pPr>
              <w:spacing w:line="50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2</w:t>
            </w:r>
          </w:p>
        </w:tc>
        <w:tc>
          <w:tcPr>
            <w:tcW w:w="5388" w:type="dxa"/>
            <w:gridSpan w:val="2"/>
            <w:noWrap w:val="0"/>
            <w:vAlign w:val="center"/>
          </w:tcPr>
          <w:p>
            <w:pPr>
              <w:spacing w:line="500" w:lineRule="exact"/>
              <w:jc w:val="center"/>
              <w:rPr>
                <w:rFonts w:hint="eastAsia" w:ascii="微软雅黑" w:hAnsi="微软雅黑" w:eastAsia="微软雅黑" w:cs="微软雅黑"/>
                <w:kern w:val="2"/>
                <w:sz w:val="21"/>
                <w:szCs w:val="21"/>
                <w:lang w:val="zh-CN" w:eastAsia="zh-CN" w:bidi="ar-SA"/>
              </w:rPr>
            </w:pPr>
            <w:r>
              <w:rPr>
                <w:rFonts w:hint="eastAsia" w:ascii="微软雅黑" w:hAnsi="微软雅黑" w:eastAsia="微软雅黑" w:cs="微软雅黑"/>
                <w:sz w:val="21"/>
                <w:szCs w:val="21"/>
              </w:rPr>
              <w:t>特定资格条件</w:t>
            </w:r>
          </w:p>
          <w:p>
            <w:pPr>
              <w:spacing w:line="500" w:lineRule="exact"/>
              <w:rPr>
                <w:rFonts w:hint="eastAsia" w:ascii="微软雅黑" w:hAnsi="微软雅黑" w:eastAsia="微软雅黑" w:cs="微软雅黑"/>
                <w:kern w:val="2"/>
                <w:sz w:val="21"/>
                <w:szCs w:val="21"/>
                <w:lang w:val="en-US" w:eastAsia="zh-CN" w:bidi="ar-SA"/>
              </w:rPr>
            </w:pPr>
          </w:p>
        </w:tc>
        <w:tc>
          <w:tcPr>
            <w:tcW w:w="3831" w:type="dxa"/>
            <w:noWrap w:val="0"/>
            <w:vAlign w:val="center"/>
          </w:tcPr>
          <w:p>
            <w:pPr>
              <w:spacing w:line="500" w:lineRule="exact"/>
              <w:rPr>
                <w:rFonts w:hint="eastAsia" w:ascii="微软雅黑" w:hAnsi="微软雅黑" w:eastAsia="微软雅黑" w:cs="微软雅黑"/>
                <w:sz w:val="20"/>
                <w:szCs w:val="20"/>
              </w:rPr>
            </w:pPr>
            <w:r>
              <w:rPr>
                <w:rFonts w:hint="eastAsia" w:ascii="微软雅黑" w:hAnsi="微软雅黑" w:eastAsia="微软雅黑" w:cs="微软雅黑"/>
                <w:sz w:val="21"/>
                <w:szCs w:val="21"/>
              </w:rPr>
              <w:t>按第一篇“三、</w:t>
            </w:r>
            <w:r>
              <w:rPr>
                <w:rFonts w:hint="eastAsia" w:ascii="微软雅黑" w:hAnsi="微软雅黑" w:eastAsia="微软雅黑" w:cs="微软雅黑"/>
                <w:sz w:val="21"/>
                <w:szCs w:val="21"/>
                <w:lang w:eastAsia="zh-CN"/>
              </w:rPr>
              <w:t>供应商资格条件</w:t>
            </w:r>
            <w:r>
              <w:rPr>
                <w:rFonts w:hint="eastAsia" w:ascii="微软雅黑" w:hAnsi="微软雅黑" w:eastAsia="微软雅黑" w:cs="微软雅黑"/>
                <w:sz w:val="21"/>
                <w:szCs w:val="21"/>
              </w:rPr>
              <w:t>”的要求提交</w:t>
            </w:r>
            <w:r>
              <w:rPr>
                <w:rFonts w:hint="eastAsia" w:ascii="微软雅黑" w:hAnsi="微软雅黑" w:eastAsia="微软雅黑" w:cs="微软雅黑"/>
                <w:sz w:val="21"/>
                <w:szCs w:val="21"/>
                <w:lang w:eastAsia="zh-CN"/>
              </w:rPr>
              <w:t>（如有）</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Align w:val="center"/>
          </w:tcPr>
          <w:p>
            <w:pPr>
              <w:spacing w:line="50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3</w:t>
            </w:r>
          </w:p>
        </w:tc>
        <w:tc>
          <w:tcPr>
            <w:tcW w:w="5388" w:type="dxa"/>
            <w:gridSpan w:val="2"/>
            <w:vAlign w:val="center"/>
          </w:tcPr>
          <w:p>
            <w:pPr>
              <w:spacing w:line="50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 w:val="21"/>
                <w:szCs w:val="21"/>
              </w:rPr>
              <w:t>保证金</w:t>
            </w:r>
          </w:p>
        </w:tc>
        <w:tc>
          <w:tcPr>
            <w:tcW w:w="0" w:type="auto"/>
          </w:tcPr>
          <w:p>
            <w:pPr>
              <w:spacing w:line="500" w:lineRule="exact"/>
              <w:rPr>
                <w:rFonts w:hint="eastAsia" w:ascii="微软雅黑" w:hAnsi="微软雅黑" w:eastAsia="微软雅黑" w:cs="微软雅黑"/>
                <w:sz w:val="20"/>
                <w:szCs w:val="20"/>
              </w:rPr>
            </w:pPr>
            <w:r>
              <w:rPr>
                <w:rFonts w:hint="eastAsia" w:ascii="微软雅黑" w:hAnsi="微软雅黑" w:eastAsia="微软雅黑" w:cs="微软雅黑"/>
                <w:sz w:val="21"/>
                <w:szCs w:val="21"/>
              </w:rPr>
              <w:t>按规定按时提交足额</w:t>
            </w:r>
            <w:r>
              <w:rPr>
                <w:rFonts w:hint="eastAsia" w:ascii="微软雅黑" w:hAnsi="微软雅黑" w:eastAsia="微软雅黑" w:cs="微软雅黑"/>
                <w:sz w:val="21"/>
                <w:szCs w:val="21"/>
                <w:lang w:eastAsia="zh-CN"/>
              </w:rPr>
              <w:t>比选</w:t>
            </w:r>
            <w:r>
              <w:rPr>
                <w:rFonts w:hint="eastAsia" w:ascii="微软雅黑" w:hAnsi="微软雅黑" w:eastAsia="微软雅黑" w:cs="微软雅黑"/>
                <w:sz w:val="21"/>
                <w:szCs w:val="21"/>
              </w:rPr>
              <w:t>保证金</w:t>
            </w:r>
          </w:p>
        </w:tc>
      </w:tr>
    </w:tbl>
    <w:p>
      <w:pPr>
        <w:snapToGrid w:val="0"/>
        <w:spacing w:line="5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注：</w:t>
      </w:r>
    </w:p>
    <w:p>
      <w:pPr>
        <w:snapToGrid w:val="0"/>
        <w:spacing w:line="5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①</w:t>
      </w:r>
      <w:r>
        <w:rPr>
          <w:rFonts w:hint="eastAsia" w:ascii="微软雅黑" w:hAnsi="微软雅黑" w:eastAsia="微软雅黑" w:cs="微软雅黑"/>
          <w:kern w:val="0"/>
          <w:sz w:val="24"/>
          <w:szCs w:val="24"/>
        </w:rPr>
        <w:t>供应商按“多证合一”登记制度办理营业执照的，税务登记证（副本）和社会保险登记证以供应商所提供的营业执照（副本）复印件为准。</w:t>
      </w:r>
    </w:p>
    <w:p>
      <w:pPr>
        <w:snapToGrid w:val="0"/>
        <w:spacing w:line="5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eastAsia="zh-CN"/>
        </w:rPr>
        <w:t>②</w:t>
      </w:r>
      <w:r>
        <w:rPr>
          <w:rFonts w:hint="eastAsia" w:ascii="微软雅黑" w:hAnsi="微软雅黑" w:eastAsia="微软雅黑" w:cs="微软雅黑"/>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50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2.符合性检查。依据竞争性</w:t>
      </w:r>
      <w:r>
        <w:rPr>
          <w:rFonts w:hint="eastAsia" w:ascii="微软雅黑" w:hAnsi="微软雅黑" w:eastAsia="微软雅黑" w:cs="微软雅黑"/>
          <w:kern w:val="0"/>
          <w:sz w:val="24"/>
          <w:szCs w:val="24"/>
          <w:lang w:eastAsia="zh-CN"/>
        </w:rPr>
        <w:t>比选</w:t>
      </w:r>
      <w:r>
        <w:rPr>
          <w:rFonts w:hint="eastAsia" w:ascii="微软雅黑" w:hAnsi="微软雅黑" w:eastAsia="微软雅黑" w:cs="微软雅黑"/>
          <w:kern w:val="0"/>
          <w:sz w:val="24"/>
          <w:szCs w:val="24"/>
        </w:rPr>
        <w:t>文件的规定，从响应文件的有效性、完整性和对竞争性</w:t>
      </w:r>
      <w:r>
        <w:rPr>
          <w:rFonts w:hint="eastAsia" w:ascii="微软雅黑" w:hAnsi="微软雅黑" w:eastAsia="微软雅黑" w:cs="微软雅黑"/>
          <w:kern w:val="0"/>
          <w:sz w:val="24"/>
          <w:szCs w:val="24"/>
          <w:lang w:eastAsia="zh-CN"/>
        </w:rPr>
        <w:t>比选</w:t>
      </w:r>
      <w:r>
        <w:rPr>
          <w:rFonts w:hint="eastAsia" w:ascii="微软雅黑" w:hAnsi="微软雅黑" w:eastAsia="微软雅黑" w:cs="微软雅黑"/>
          <w:kern w:val="0"/>
          <w:sz w:val="24"/>
          <w:szCs w:val="24"/>
        </w:rPr>
        <w:t>文件的响应程度进行审查，以确定是否对竞争性</w:t>
      </w:r>
      <w:r>
        <w:rPr>
          <w:rFonts w:hint="eastAsia" w:ascii="微软雅黑" w:hAnsi="微软雅黑" w:eastAsia="微软雅黑" w:cs="微软雅黑"/>
          <w:kern w:val="0"/>
          <w:sz w:val="24"/>
          <w:szCs w:val="24"/>
          <w:lang w:eastAsia="zh-CN"/>
        </w:rPr>
        <w:t>比选</w:t>
      </w:r>
      <w:r>
        <w:rPr>
          <w:rFonts w:hint="eastAsia" w:ascii="微软雅黑" w:hAnsi="微软雅黑" w:eastAsia="微软雅黑" w:cs="微软雅黑"/>
          <w:kern w:val="0"/>
          <w:sz w:val="24"/>
          <w:szCs w:val="24"/>
        </w:rPr>
        <w:t>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52"/>
        <w:gridCol w:w="1974"/>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1" w:type="dxa"/>
            <w:noWrap w:val="0"/>
            <w:vAlign w:val="center"/>
          </w:tcPr>
          <w:p>
            <w:pPr>
              <w:spacing w:line="240" w:lineRule="exact"/>
              <w:jc w:val="center"/>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序号</w:t>
            </w:r>
          </w:p>
        </w:tc>
        <w:tc>
          <w:tcPr>
            <w:tcW w:w="3526" w:type="dxa"/>
            <w:gridSpan w:val="2"/>
            <w:noWrap w:val="0"/>
            <w:vAlign w:val="center"/>
          </w:tcPr>
          <w:p>
            <w:pPr>
              <w:spacing w:line="240" w:lineRule="exact"/>
              <w:jc w:val="center"/>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评审因素</w:t>
            </w:r>
          </w:p>
        </w:tc>
        <w:tc>
          <w:tcPr>
            <w:tcW w:w="5382" w:type="dxa"/>
            <w:noWrap w:val="0"/>
            <w:vAlign w:val="center"/>
          </w:tcPr>
          <w:p>
            <w:pPr>
              <w:spacing w:line="240" w:lineRule="exact"/>
              <w:jc w:val="center"/>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1" w:type="dxa"/>
            <w:vMerge w:val="restart"/>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552" w:type="dxa"/>
            <w:vMerge w:val="restart"/>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有效性审查</w:t>
            </w:r>
          </w:p>
        </w:tc>
        <w:tc>
          <w:tcPr>
            <w:tcW w:w="1974"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rPr>
              <w:t>响应文件签署</w:t>
            </w:r>
          </w:p>
        </w:tc>
        <w:tc>
          <w:tcPr>
            <w:tcW w:w="538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1" w:type="dxa"/>
            <w:vMerge w:val="continue"/>
            <w:noWrap w:val="0"/>
            <w:vAlign w:val="center"/>
          </w:tcPr>
          <w:p>
            <w:pPr>
              <w:spacing w:line="240" w:lineRule="exact"/>
              <w:jc w:val="center"/>
              <w:rPr>
                <w:rFonts w:hint="eastAsia" w:ascii="微软雅黑" w:hAnsi="微软雅黑" w:eastAsia="微软雅黑" w:cs="微软雅黑"/>
                <w:kern w:val="0"/>
                <w:sz w:val="20"/>
                <w:szCs w:val="20"/>
              </w:rPr>
            </w:pPr>
          </w:p>
        </w:tc>
        <w:tc>
          <w:tcPr>
            <w:tcW w:w="1552" w:type="dxa"/>
            <w:vMerge w:val="continue"/>
            <w:noWrap w:val="0"/>
            <w:vAlign w:val="center"/>
          </w:tcPr>
          <w:p>
            <w:pPr>
              <w:spacing w:line="240" w:lineRule="exact"/>
              <w:rPr>
                <w:rFonts w:hint="eastAsia" w:ascii="微软雅黑" w:hAnsi="微软雅黑" w:eastAsia="微软雅黑" w:cs="微软雅黑"/>
                <w:kern w:val="0"/>
                <w:sz w:val="20"/>
                <w:szCs w:val="20"/>
              </w:rPr>
            </w:pPr>
          </w:p>
        </w:tc>
        <w:tc>
          <w:tcPr>
            <w:tcW w:w="1974" w:type="dxa"/>
            <w:noWrap w:val="0"/>
            <w:vAlign w:val="center"/>
          </w:tcPr>
          <w:p>
            <w:pPr>
              <w:spacing w:line="2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w:t>
            </w:r>
          </w:p>
        </w:tc>
        <w:tc>
          <w:tcPr>
            <w:tcW w:w="5382" w:type="dxa"/>
            <w:noWrap w:val="0"/>
            <w:vAlign w:val="center"/>
          </w:tcPr>
          <w:p>
            <w:pPr>
              <w:spacing w:line="24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法定代表人身份证明及授权委托书有效，符合竞争性</w:t>
            </w:r>
            <w:r>
              <w:rPr>
                <w:rFonts w:hint="eastAsia" w:ascii="微软雅黑" w:hAnsi="微软雅黑" w:eastAsia="微软雅黑" w:cs="微软雅黑"/>
                <w:sz w:val="20"/>
                <w:szCs w:val="20"/>
                <w:lang w:eastAsia="zh-CN"/>
              </w:rPr>
              <w:t>比选</w:t>
            </w:r>
            <w:r>
              <w:rPr>
                <w:rFonts w:hint="eastAsia" w:ascii="微软雅黑" w:hAnsi="微软雅黑" w:eastAsia="微软雅黑" w:cs="微软雅黑"/>
                <w:sz w:val="20"/>
                <w:szCs w:val="20"/>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1" w:type="dxa"/>
            <w:vMerge w:val="continue"/>
            <w:noWrap w:val="0"/>
            <w:vAlign w:val="center"/>
          </w:tcPr>
          <w:p>
            <w:pPr>
              <w:spacing w:line="240" w:lineRule="exact"/>
              <w:jc w:val="center"/>
              <w:rPr>
                <w:rFonts w:hint="eastAsia" w:ascii="微软雅黑" w:hAnsi="微软雅黑" w:eastAsia="微软雅黑" w:cs="微软雅黑"/>
                <w:kern w:val="0"/>
                <w:sz w:val="20"/>
                <w:szCs w:val="20"/>
              </w:rPr>
            </w:pPr>
          </w:p>
        </w:tc>
        <w:tc>
          <w:tcPr>
            <w:tcW w:w="1552" w:type="dxa"/>
            <w:vMerge w:val="continue"/>
            <w:noWrap w:val="0"/>
            <w:vAlign w:val="center"/>
          </w:tcPr>
          <w:p>
            <w:pPr>
              <w:spacing w:line="240" w:lineRule="exact"/>
              <w:rPr>
                <w:rFonts w:hint="eastAsia" w:ascii="微软雅黑" w:hAnsi="微软雅黑" w:eastAsia="微软雅黑" w:cs="微软雅黑"/>
                <w:kern w:val="0"/>
                <w:sz w:val="20"/>
                <w:szCs w:val="20"/>
              </w:rPr>
            </w:pPr>
          </w:p>
        </w:tc>
        <w:tc>
          <w:tcPr>
            <w:tcW w:w="1974" w:type="dxa"/>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c>
          <w:tcPr>
            <w:tcW w:w="538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lang w:val="zh-CN"/>
              </w:rPr>
              <w:t>只能有一个</w:t>
            </w: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1" w:type="dxa"/>
            <w:vMerge w:val="continue"/>
            <w:noWrap w:val="0"/>
            <w:vAlign w:val="center"/>
          </w:tcPr>
          <w:p>
            <w:pPr>
              <w:spacing w:line="240" w:lineRule="exact"/>
              <w:jc w:val="center"/>
              <w:rPr>
                <w:rFonts w:hint="eastAsia" w:ascii="微软雅黑" w:hAnsi="微软雅黑" w:eastAsia="微软雅黑" w:cs="微软雅黑"/>
                <w:kern w:val="0"/>
                <w:sz w:val="20"/>
                <w:szCs w:val="20"/>
              </w:rPr>
            </w:pPr>
          </w:p>
        </w:tc>
        <w:tc>
          <w:tcPr>
            <w:tcW w:w="1552" w:type="dxa"/>
            <w:vMerge w:val="continue"/>
            <w:noWrap w:val="0"/>
            <w:vAlign w:val="center"/>
          </w:tcPr>
          <w:p>
            <w:pPr>
              <w:spacing w:line="240" w:lineRule="exact"/>
              <w:rPr>
                <w:rFonts w:hint="eastAsia" w:ascii="微软雅黑" w:hAnsi="微软雅黑" w:eastAsia="微软雅黑" w:cs="微软雅黑"/>
                <w:kern w:val="0"/>
                <w:sz w:val="20"/>
                <w:szCs w:val="20"/>
              </w:rPr>
            </w:pPr>
          </w:p>
        </w:tc>
        <w:tc>
          <w:tcPr>
            <w:tcW w:w="1974" w:type="dxa"/>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sz w:val="20"/>
                <w:szCs w:val="20"/>
              </w:rPr>
              <w:t>报价唯一</w:t>
            </w:r>
          </w:p>
        </w:tc>
        <w:tc>
          <w:tcPr>
            <w:tcW w:w="538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1" w:type="dxa"/>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55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完整性审查</w:t>
            </w:r>
          </w:p>
        </w:tc>
        <w:tc>
          <w:tcPr>
            <w:tcW w:w="1974"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文件份数</w:t>
            </w:r>
          </w:p>
        </w:tc>
        <w:tc>
          <w:tcPr>
            <w:tcW w:w="538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sz w:val="20"/>
                <w:szCs w:val="20"/>
              </w:rPr>
              <w:t>响应</w:t>
            </w:r>
            <w:r>
              <w:rPr>
                <w:rFonts w:hint="eastAsia" w:ascii="微软雅黑" w:hAnsi="微软雅黑" w:eastAsia="微软雅黑" w:cs="微软雅黑"/>
                <w:sz w:val="20"/>
                <w:szCs w:val="20"/>
                <w:lang w:val="zh-CN"/>
              </w:rPr>
              <w:t>文件正、副本数量（含电子文档）符合</w:t>
            </w:r>
            <w:r>
              <w:rPr>
                <w:rFonts w:hint="eastAsia" w:ascii="微软雅黑" w:hAnsi="微软雅黑" w:eastAsia="微软雅黑" w:cs="微软雅黑"/>
                <w:sz w:val="20"/>
                <w:szCs w:val="20"/>
              </w:rPr>
              <w:t>竞争性</w:t>
            </w:r>
            <w:r>
              <w:rPr>
                <w:rFonts w:hint="eastAsia" w:ascii="微软雅黑" w:hAnsi="微软雅黑" w:eastAsia="微软雅黑" w:cs="微软雅黑"/>
                <w:sz w:val="20"/>
                <w:szCs w:val="20"/>
                <w:lang w:eastAsia="zh-CN"/>
              </w:rPr>
              <w:t>比选</w:t>
            </w:r>
            <w:r>
              <w:rPr>
                <w:rFonts w:hint="eastAsia" w:ascii="微软雅黑" w:hAnsi="微软雅黑" w:eastAsia="微软雅黑" w:cs="微软雅黑"/>
                <w:sz w:val="20"/>
                <w:szCs w:val="20"/>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71" w:type="dxa"/>
            <w:vMerge w:val="restart"/>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552" w:type="dxa"/>
            <w:vMerge w:val="restart"/>
            <w:noWrap w:val="0"/>
            <w:vAlign w:val="center"/>
          </w:tcPr>
          <w:p>
            <w:pPr>
              <w:spacing w:line="240" w:lineRule="exact"/>
              <w:rPr>
                <w:rFonts w:hint="eastAsia" w:ascii="微软雅黑" w:hAnsi="微软雅黑" w:eastAsia="微软雅黑" w:cs="微软雅黑"/>
                <w:sz w:val="20"/>
                <w:szCs w:val="20"/>
                <w:lang w:val="zh-CN"/>
              </w:rPr>
            </w:pPr>
            <w:r>
              <w:rPr>
                <w:rFonts w:hint="eastAsia" w:ascii="微软雅黑" w:hAnsi="微软雅黑" w:eastAsia="微软雅黑" w:cs="微软雅黑"/>
                <w:kern w:val="0"/>
                <w:sz w:val="20"/>
                <w:szCs w:val="20"/>
              </w:rPr>
              <w:t>竞争性</w:t>
            </w:r>
            <w:r>
              <w:rPr>
                <w:rFonts w:hint="eastAsia" w:ascii="微软雅黑" w:hAnsi="微软雅黑" w:eastAsia="微软雅黑" w:cs="微软雅黑"/>
                <w:kern w:val="0"/>
                <w:sz w:val="20"/>
                <w:szCs w:val="20"/>
                <w:lang w:eastAsia="zh-CN"/>
              </w:rPr>
              <w:t>比选</w:t>
            </w:r>
            <w:r>
              <w:rPr>
                <w:rFonts w:hint="eastAsia" w:ascii="微软雅黑" w:hAnsi="微软雅黑" w:eastAsia="微软雅黑" w:cs="微软雅黑"/>
                <w:kern w:val="0"/>
                <w:sz w:val="20"/>
                <w:szCs w:val="20"/>
              </w:rPr>
              <w:t>文件的响应程度审查</w:t>
            </w:r>
          </w:p>
        </w:tc>
        <w:tc>
          <w:tcPr>
            <w:tcW w:w="1974"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响应文件内容</w:t>
            </w:r>
          </w:p>
        </w:tc>
        <w:tc>
          <w:tcPr>
            <w:tcW w:w="5382" w:type="dxa"/>
            <w:noWrap w:val="0"/>
            <w:vAlign w:val="center"/>
          </w:tcPr>
          <w:p>
            <w:pPr>
              <w:pStyle w:val="10"/>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对竞争性</w:t>
            </w:r>
            <w:r>
              <w:rPr>
                <w:rFonts w:hint="eastAsia" w:ascii="微软雅黑" w:hAnsi="微软雅黑" w:eastAsia="微软雅黑" w:cs="微软雅黑"/>
                <w:kern w:val="0"/>
                <w:sz w:val="20"/>
                <w:szCs w:val="20"/>
                <w:lang w:eastAsia="zh-CN"/>
              </w:rPr>
              <w:t>比选</w:t>
            </w:r>
            <w:r>
              <w:rPr>
                <w:rFonts w:hint="eastAsia" w:ascii="微软雅黑" w:hAnsi="微软雅黑" w:eastAsia="微软雅黑" w:cs="微软雅黑"/>
                <w:kern w:val="0"/>
                <w:sz w:val="20"/>
                <w:szCs w:val="20"/>
              </w:rPr>
              <w:t>文件第二篇规定的</w:t>
            </w:r>
            <w:r>
              <w:rPr>
                <w:rFonts w:hint="eastAsia" w:ascii="微软雅黑" w:hAnsi="微软雅黑" w:eastAsia="微软雅黑" w:cs="微软雅黑"/>
                <w:kern w:val="0"/>
                <w:sz w:val="20"/>
                <w:szCs w:val="20"/>
                <w:lang w:eastAsia="zh-CN"/>
              </w:rPr>
              <w:t>比选</w:t>
            </w:r>
            <w:r>
              <w:rPr>
                <w:rFonts w:hint="eastAsia" w:ascii="微软雅黑" w:hAnsi="微软雅黑" w:eastAsia="微软雅黑" w:cs="微软雅黑"/>
                <w:kern w:val="0"/>
                <w:sz w:val="20"/>
                <w:szCs w:val="20"/>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71" w:type="dxa"/>
            <w:vMerge w:val="continue"/>
            <w:noWrap w:val="0"/>
            <w:vAlign w:val="center"/>
          </w:tcPr>
          <w:p>
            <w:pPr>
              <w:spacing w:line="240" w:lineRule="exact"/>
              <w:jc w:val="center"/>
              <w:rPr>
                <w:rFonts w:hint="eastAsia" w:ascii="微软雅黑" w:hAnsi="微软雅黑" w:eastAsia="微软雅黑" w:cs="微软雅黑"/>
                <w:kern w:val="0"/>
                <w:sz w:val="20"/>
                <w:szCs w:val="20"/>
              </w:rPr>
            </w:pPr>
          </w:p>
        </w:tc>
        <w:tc>
          <w:tcPr>
            <w:tcW w:w="1552" w:type="dxa"/>
            <w:vMerge w:val="continue"/>
            <w:noWrap w:val="0"/>
            <w:vAlign w:val="center"/>
          </w:tcPr>
          <w:p>
            <w:pPr>
              <w:spacing w:line="240" w:lineRule="exact"/>
              <w:rPr>
                <w:rFonts w:hint="eastAsia" w:ascii="微软雅黑" w:hAnsi="微软雅黑" w:eastAsia="微软雅黑" w:cs="微软雅黑"/>
                <w:sz w:val="20"/>
                <w:szCs w:val="20"/>
                <w:lang w:val="zh-CN"/>
              </w:rPr>
            </w:pPr>
          </w:p>
        </w:tc>
        <w:tc>
          <w:tcPr>
            <w:tcW w:w="1974"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比选</w:t>
            </w:r>
            <w:r>
              <w:rPr>
                <w:rFonts w:hint="eastAsia" w:ascii="微软雅黑" w:hAnsi="微软雅黑" w:eastAsia="微软雅黑" w:cs="微软雅黑"/>
                <w:kern w:val="0"/>
                <w:sz w:val="20"/>
                <w:szCs w:val="20"/>
              </w:rPr>
              <w:t>有效期</w:t>
            </w:r>
          </w:p>
        </w:tc>
        <w:tc>
          <w:tcPr>
            <w:tcW w:w="5382" w:type="dxa"/>
            <w:noWrap w:val="0"/>
            <w:vAlign w:val="center"/>
          </w:tcPr>
          <w:p>
            <w:pPr>
              <w:spacing w:line="240" w:lineRule="exac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满足</w:t>
            </w:r>
            <w:r>
              <w:rPr>
                <w:rFonts w:hint="eastAsia" w:ascii="微软雅黑" w:hAnsi="微软雅黑" w:eastAsia="微软雅黑" w:cs="微软雅黑"/>
                <w:kern w:val="0"/>
                <w:sz w:val="20"/>
                <w:szCs w:val="20"/>
                <w:lang w:eastAsia="zh-CN"/>
              </w:rPr>
              <w:t>比选</w:t>
            </w:r>
            <w:r>
              <w:rPr>
                <w:rFonts w:hint="eastAsia" w:ascii="微软雅黑" w:hAnsi="微软雅黑" w:eastAsia="微软雅黑" w:cs="微软雅黑"/>
                <w:kern w:val="0"/>
                <w:sz w:val="20"/>
                <w:szCs w:val="20"/>
              </w:rPr>
              <w:t>文件</w:t>
            </w:r>
            <w:r>
              <w:rPr>
                <w:rFonts w:hint="eastAsia" w:ascii="微软雅黑" w:hAnsi="微软雅黑" w:eastAsia="微软雅黑" w:cs="微软雅黑"/>
                <w:sz w:val="20"/>
                <w:szCs w:val="20"/>
                <w:lang w:val="zh-CN"/>
              </w:rPr>
              <w:t>规定。</w:t>
            </w:r>
          </w:p>
        </w:tc>
      </w:tr>
    </w:tbl>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（三）澄清有关问题。</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（五）在</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过程中</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的任何一方不得向他人透露与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有关的服务资料、价格或其他信息。</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（六）在</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过程中，</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小组可以根据竞争性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文件和</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情况实质性变动采购需求中的服务、商务要求以及合同草案条款，但不得变动竞争性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文件中的其他内容。对竞争性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文件作出的实质性变动是竞争性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文件的有效组成部分，</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小组应当及时以书面形式同时通知所有参加</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的供应商。</w:t>
      </w:r>
    </w:p>
    <w:p>
      <w:pPr>
        <w:spacing w:line="500" w:lineRule="exact"/>
        <w:ind w:firstLine="480" w:firstLineChars="200"/>
        <w:rPr>
          <w:rFonts w:hint="eastAsia" w:ascii="微软雅黑" w:hAnsi="微软雅黑" w:eastAsia="微软雅黑" w:cs="微软雅黑"/>
          <w:sz w:val="24"/>
          <w:szCs w:val="24"/>
        </w:rPr>
      </w:pPr>
      <w:bookmarkStart w:id="52" w:name="_Toc54353623"/>
      <w:r>
        <w:rPr>
          <w:rFonts w:hint="eastAsia" w:ascii="微软雅黑" w:hAnsi="微软雅黑" w:eastAsia="微软雅黑" w:cs="微软雅黑"/>
          <w:sz w:val="24"/>
          <w:szCs w:val="24"/>
        </w:rPr>
        <w:t>（七）供应商在竞争性比选时作出的所有书面承诺须由法定代表人或其授权代表签字。</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竞争性比选小组采用综合评分法对供应商的响应文件和报价（含有效书面承诺）进行综合评分。综合评分法，是指响应文件满足竞争性比选文件全部实质性要求且按照评审因素的量化指标评审得分最高的供应商为成交候选供应商的评审方法。供应商总得分为价格、商务、服务等评定因素分别按照相应权重值计算分项得分后相加，满分为100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（九）竞争性比选小组各成员独立对每个有效响应（通过资格性、符合性检查的供应商）的文件进行评价、打分，然后汇总每个供应商每项评分因素的得分，</w:t>
      </w:r>
      <w:bookmarkStart w:id="53" w:name="_Hlk82013679"/>
      <w:r>
        <w:rPr>
          <w:rFonts w:hint="eastAsia" w:ascii="微软雅黑" w:hAnsi="微软雅黑" w:eastAsia="微软雅黑" w:cs="微软雅黑"/>
          <w:sz w:val="24"/>
          <w:szCs w:val="24"/>
        </w:rPr>
        <w:t>并根据综合评分情况按照评审得分由高到低顺序推荐2名及以上成交候选供应商，排名第一的为第一成交候选供应商。评审得分且报价相同的，按照服务部分得分优劣顺序排列推荐。以上都相同的，按商务部分得分的优劣顺序排列推荐。</w:t>
      </w:r>
      <w:bookmarkEnd w:id="53"/>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若供应商的服务部分为0分，将失去成为成交候选供应商的资格。</w:t>
      </w:r>
    </w:p>
    <w:p>
      <w:pPr>
        <w:pStyle w:val="5"/>
        <w:spacing w:before="0" w:after="0" w:line="500" w:lineRule="exact"/>
        <w:ind w:firstLine="480" w:firstLineChars="200"/>
        <w:rPr>
          <w:rFonts w:hint="eastAsia" w:ascii="微软雅黑" w:hAnsi="微软雅黑" w:eastAsia="微软雅黑" w:cs="微软雅黑"/>
          <w:sz w:val="24"/>
          <w:szCs w:val="24"/>
        </w:rPr>
      </w:pPr>
      <w:bookmarkStart w:id="54" w:name="_Toc19831"/>
      <w:r>
        <w:rPr>
          <w:rFonts w:hint="eastAsia" w:ascii="微软雅黑" w:hAnsi="微软雅黑" w:eastAsia="微软雅黑" w:cs="微软雅黑"/>
          <w:sz w:val="24"/>
          <w:szCs w:val="24"/>
        </w:rPr>
        <w:t>二、</w:t>
      </w:r>
      <w:bookmarkStart w:id="55" w:name="_Toc102227320"/>
      <w:bookmarkStart w:id="56" w:name="_Toc342913394"/>
      <w:r>
        <w:rPr>
          <w:rFonts w:hint="eastAsia" w:ascii="微软雅黑" w:hAnsi="微软雅黑" w:eastAsia="微软雅黑" w:cs="微软雅黑"/>
          <w:sz w:val="24"/>
          <w:szCs w:val="24"/>
        </w:rPr>
        <w:t>评审标准</w:t>
      </w:r>
      <w:bookmarkEnd w:id="52"/>
      <w:bookmarkEnd w:id="54"/>
    </w:p>
    <w:tbl>
      <w:tblPr>
        <w:tblStyle w:val="16"/>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2"/>
        <w:gridCol w:w="1121"/>
        <w:gridCol w:w="682"/>
        <w:gridCol w:w="4759"/>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pacing w:line="240" w:lineRule="atLeast"/>
              <w:ind w:firstLine="28"/>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序号</w:t>
            </w:r>
          </w:p>
        </w:tc>
        <w:tc>
          <w:tcPr>
            <w:tcW w:w="2143" w:type="dxa"/>
            <w:gridSpan w:val="2"/>
            <w:noWrap w:val="0"/>
            <w:vAlign w:val="center"/>
          </w:tcPr>
          <w:p>
            <w:pPr>
              <w:spacing w:line="240" w:lineRule="atLeast"/>
              <w:ind w:firstLine="28"/>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评分因素及权值</w:t>
            </w:r>
          </w:p>
        </w:tc>
        <w:tc>
          <w:tcPr>
            <w:tcW w:w="682" w:type="dxa"/>
            <w:noWrap w:val="0"/>
            <w:vAlign w:val="center"/>
          </w:tcPr>
          <w:p>
            <w:pPr>
              <w:spacing w:line="240" w:lineRule="atLeast"/>
              <w:ind w:firstLine="28"/>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分值</w:t>
            </w:r>
          </w:p>
        </w:tc>
        <w:tc>
          <w:tcPr>
            <w:tcW w:w="4759" w:type="dxa"/>
            <w:noWrap w:val="0"/>
            <w:vAlign w:val="center"/>
          </w:tcPr>
          <w:p>
            <w:pPr>
              <w:spacing w:line="240" w:lineRule="atLeast"/>
              <w:ind w:firstLine="28"/>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评分标准</w:t>
            </w:r>
          </w:p>
        </w:tc>
        <w:tc>
          <w:tcPr>
            <w:tcW w:w="1064" w:type="dxa"/>
            <w:noWrap w:val="0"/>
            <w:vAlign w:val="center"/>
          </w:tcPr>
          <w:p>
            <w:pPr>
              <w:spacing w:line="240" w:lineRule="atLeast"/>
              <w:ind w:firstLine="28"/>
              <w:jc w:val="center"/>
              <w:rPr>
                <w:rFonts w:hint="eastAsia" w:ascii="微软雅黑" w:hAnsi="微软雅黑" w:eastAsia="微软雅黑" w:cs="微软雅黑"/>
                <w:sz w:val="20"/>
                <w:szCs w:val="20"/>
              </w:rPr>
            </w:pPr>
            <w:r>
              <w:rPr>
                <w:rFonts w:hint="eastAsia" w:ascii="微软雅黑" w:hAnsi="微软雅黑" w:eastAsia="微软雅黑" w:cs="微软雅黑"/>
                <w:b/>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pPr>
              <w:spacing w:line="240" w:lineRule="atLeast"/>
              <w:ind w:firstLine="28"/>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1</w:t>
            </w:r>
          </w:p>
        </w:tc>
        <w:tc>
          <w:tcPr>
            <w:tcW w:w="2143" w:type="dxa"/>
            <w:gridSpan w:val="2"/>
            <w:noWrap w:val="0"/>
            <w:vAlign w:val="center"/>
          </w:tcPr>
          <w:p>
            <w:pPr>
              <w:spacing w:line="240" w:lineRule="atLeast"/>
              <w:ind w:firstLine="28"/>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eastAsia="zh-CN"/>
              </w:rPr>
              <w:t>比选</w:t>
            </w:r>
            <w:r>
              <w:rPr>
                <w:rFonts w:hint="eastAsia" w:ascii="微软雅黑" w:hAnsi="微软雅黑" w:eastAsia="微软雅黑" w:cs="微软雅黑"/>
                <w:sz w:val="20"/>
                <w:szCs w:val="20"/>
                <w:highlight w:val="none"/>
              </w:rPr>
              <w:t>报价</w:t>
            </w:r>
          </w:p>
          <w:p>
            <w:pPr>
              <w:spacing w:line="240" w:lineRule="atLeast"/>
              <w:ind w:firstLine="28"/>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w:t>
            </w:r>
            <w:r>
              <w:rPr>
                <w:rFonts w:hint="eastAsia" w:ascii="微软雅黑" w:hAnsi="微软雅黑" w:eastAsia="微软雅黑" w:cs="微软雅黑"/>
                <w:sz w:val="20"/>
                <w:szCs w:val="20"/>
                <w:highlight w:val="none"/>
                <w:lang w:val="en-US" w:eastAsia="zh-CN"/>
              </w:rPr>
              <w:t>2</w:t>
            </w:r>
            <w:r>
              <w:rPr>
                <w:rFonts w:hint="eastAsia" w:ascii="微软雅黑" w:hAnsi="微软雅黑" w:eastAsia="微软雅黑" w:cs="微软雅黑"/>
                <w:sz w:val="20"/>
                <w:szCs w:val="20"/>
                <w:highlight w:val="none"/>
              </w:rPr>
              <w:t>0%）</w:t>
            </w:r>
          </w:p>
        </w:tc>
        <w:tc>
          <w:tcPr>
            <w:tcW w:w="682" w:type="dxa"/>
            <w:noWrap w:val="0"/>
            <w:vAlign w:val="center"/>
          </w:tcPr>
          <w:p>
            <w:pPr>
              <w:spacing w:line="240" w:lineRule="atLeast"/>
              <w:ind w:firstLine="28"/>
              <w:jc w:val="center"/>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lang w:val="en-US" w:eastAsia="zh-CN"/>
              </w:rPr>
              <w:t>2</w:t>
            </w:r>
            <w:r>
              <w:rPr>
                <w:rFonts w:hint="eastAsia" w:ascii="微软雅黑" w:hAnsi="微软雅黑" w:eastAsia="微软雅黑" w:cs="微软雅黑"/>
                <w:sz w:val="20"/>
                <w:szCs w:val="20"/>
                <w:highlight w:val="none"/>
              </w:rPr>
              <w:t>0</w:t>
            </w:r>
          </w:p>
        </w:tc>
        <w:tc>
          <w:tcPr>
            <w:tcW w:w="4759" w:type="dxa"/>
            <w:noWrap w:val="0"/>
            <w:vAlign w:val="center"/>
          </w:tcPr>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有效的投标报价中的最低价为评标基准价，其价格分为满分。其他投标人的价格分统一按照下列公式计算：</w:t>
            </w:r>
          </w:p>
          <w:p>
            <w:pPr>
              <w:spacing w:line="240" w:lineRule="atLeast"/>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投标报价得分＝（评标基准价/投标报价）×价格权重×100。</w:t>
            </w:r>
          </w:p>
        </w:tc>
        <w:tc>
          <w:tcPr>
            <w:tcW w:w="1064" w:type="dxa"/>
            <w:noWrap w:val="0"/>
            <w:vAlign w:val="center"/>
          </w:tcPr>
          <w:p>
            <w:pPr>
              <w:spacing w:line="240" w:lineRule="atLeast"/>
              <w:ind w:left="-38"/>
              <w:rPr>
                <w:rFonts w:hint="eastAsia" w:ascii="微软雅黑" w:hAnsi="微软雅黑" w:eastAsia="微软雅黑" w:cs="微软雅黑"/>
                <w:color w:val="FF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9248" w:type="dxa"/>
            <w:gridSpan w:val="6"/>
            <w:noWrap w:val="0"/>
            <w:vAlign w:val="center"/>
          </w:tcPr>
          <w:p>
            <w:pPr>
              <w:spacing w:line="240" w:lineRule="atLeast"/>
              <w:ind w:left="-38"/>
              <w:rPr>
                <w:rFonts w:hint="eastAsia" w:ascii="微软雅黑" w:hAnsi="微软雅黑" w:eastAsia="微软雅黑" w:cs="微软雅黑"/>
                <w:sz w:val="20"/>
                <w:szCs w:val="20"/>
                <w:highlight w:val="none"/>
              </w:rPr>
            </w:pPr>
            <w:r>
              <w:rPr>
                <w:rFonts w:hint="eastAsia" w:ascii="微软雅黑" w:hAnsi="微软雅黑" w:eastAsia="微软雅黑" w:cs="微软雅黑"/>
                <w:sz w:val="20"/>
                <w:szCs w:val="20"/>
                <w:highlight w:val="none"/>
              </w:rPr>
              <w:t>供应商对“第二篇 项目服务需求”有一条不满足的，服务部分得0分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restart"/>
            <w:noWrap w:val="0"/>
            <w:vAlign w:val="center"/>
          </w:tcPr>
          <w:p>
            <w:pPr>
              <w:spacing w:line="240" w:lineRule="atLeast"/>
              <w:ind w:firstLine="28"/>
              <w:jc w:val="cente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2</w:t>
            </w:r>
          </w:p>
        </w:tc>
        <w:tc>
          <w:tcPr>
            <w:tcW w:w="1022" w:type="dxa"/>
            <w:vMerge w:val="restart"/>
            <w:noWrap w:val="0"/>
            <w:vAlign w:val="center"/>
          </w:tcPr>
          <w:p>
            <w:pPr>
              <w:spacing w:line="240" w:lineRule="atLeast"/>
              <w:ind w:firstLine="28"/>
              <w:jc w:val="center"/>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lang w:eastAsia="zh-CN"/>
              </w:rPr>
              <w:t>服务部分（</w:t>
            </w:r>
            <w:r>
              <w:rPr>
                <w:rFonts w:hint="eastAsia" w:ascii="微软雅黑" w:hAnsi="微软雅黑" w:eastAsia="微软雅黑" w:cs="微软雅黑"/>
                <w:sz w:val="20"/>
                <w:szCs w:val="20"/>
                <w:highlight w:val="none"/>
                <w:lang w:val="en-US" w:eastAsia="zh-CN"/>
              </w:rPr>
              <w:t>60%</w:t>
            </w:r>
            <w:r>
              <w:rPr>
                <w:rFonts w:hint="eastAsia" w:ascii="微软雅黑" w:hAnsi="微软雅黑" w:eastAsia="微软雅黑" w:cs="微软雅黑"/>
                <w:sz w:val="20"/>
                <w:szCs w:val="20"/>
                <w:highlight w:val="none"/>
                <w:lang w:eastAsia="zh-CN"/>
              </w:rPr>
              <w:t>）</w:t>
            </w:r>
          </w:p>
        </w:tc>
        <w:tc>
          <w:tcPr>
            <w:tcW w:w="1121" w:type="dxa"/>
            <w:noWrap w:val="0"/>
            <w:vAlign w:val="center"/>
          </w:tcPr>
          <w:p>
            <w:pPr>
              <w:spacing w:line="240" w:lineRule="atLeast"/>
              <w:ind w:firstLine="28"/>
              <w:jc w:val="center"/>
              <w:rPr>
                <w:rFonts w:hint="eastAsia" w:ascii="微软雅黑" w:hAnsi="微软雅黑" w:eastAsia="微软雅黑" w:cs="微软雅黑"/>
                <w:sz w:val="20"/>
                <w:szCs w:val="20"/>
                <w:highlight w:val="none"/>
              </w:rPr>
            </w:pPr>
            <w:bookmarkStart w:id="57" w:name="_Hlk78273915"/>
            <w:r>
              <w:rPr>
                <w:rFonts w:hint="eastAsia" w:ascii="微软雅黑" w:hAnsi="微软雅黑" w:eastAsia="微软雅黑" w:cs="微软雅黑"/>
                <w:sz w:val="20"/>
                <w:szCs w:val="20"/>
                <w:highlight w:val="none"/>
                <w:lang w:eastAsia="zh-CN"/>
              </w:rPr>
              <w:t>宣传计划</w:t>
            </w:r>
            <w:bookmarkEnd w:id="57"/>
          </w:p>
        </w:tc>
        <w:tc>
          <w:tcPr>
            <w:tcW w:w="682" w:type="dxa"/>
            <w:noWrap w:val="0"/>
            <w:vAlign w:val="center"/>
          </w:tcPr>
          <w:p>
            <w:pPr>
              <w:spacing w:line="240" w:lineRule="atLeast"/>
              <w:ind w:firstLine="28"/>
              <w:jc w:val="center"/>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20</w:t>
            </w:r>
          </w:p>
        </w:tc>
        <w:tc>
          <w:tcPr>
            <w:tcW w:w="4759" w:type="dxa"/>
            <w:noWrap w:val="0"/>
            <w:vAlign w:val="center"/>
          </w:tcPr>
          <w:p>
            <w:pPr>
              <w:spacing w:line="240" w:lineRule="auto"/>
              <w:ind w:firstLine="0"/>
              <w:jc w:val="left"/>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eastAsia="zh-CN"/>
              </w:rPr>
              <w:t>根据第二篇服务内容和要求拟定宣传计划。</w:t>
            </w:r>
            <w:r>
              <w:rPr>
                <w:rFonts w:hint="eastAsia" w:ascii="微软雅黑" w:hAnsi="微软雅黑" w:eastAsia="微软雅黑" w:cs="微软雅黑"/>
                <w:color w:val="auto"/>
                <w:sz w:val="20"/>
                <w:szCs w:val="20"/>
                <w:highlight w:val="none"/>
                <w:lang w:val="en-US" w:eastAsia="zh-CN"/>
              </w:rPr>
              <w:t>根据方案针对性，可执行性进行评审。针对性，可执行性强的得优20分；针对性，可执行性较强的得良15分；</w:t>
            </w:r>
          </w:p>
          <w:p>
            <w:pPr>
              <w:spacing w:line="240" w:lineRule="auto"/>
              <w:ind w:firstLine="0"/>
              <w:jc w:val="left"/>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针对性，可执行性较一般的得10分；无针对性，不可执行性为差的得5分，不提供方案得0分。</w:t>
            </w:r>
          </w:p>
        </w:tc>
        <w:tc>
          <w:tcPr>
            <w:tcW w:w="1064" w:type="dxa"/>
            <w:vMerge w:val="restart"/>
            <w:noWrap w:val="0"/>
            <w:vAlign w:val="center"/>
          </w:tcPr>
          <w:p>
            <w:pPr>
              <w:spacing w:line="240" w:lineRule="atLeast"/>
              <w:ind w:firstLine="28"/>
              <w:jc w:val="center"/>
              <w:rPr>
                <w:rFonts w:hint="eastAsia" w:ascii="微软雅黑" w:hAnsi="微软雅黑" w:eastAsia="微软雅黑" w:cs="微软雅黑"/>
                <w:sz w:val="20"/>
                <w:szCs w:val="20"/>
                <w:highlight w:val="none"/>
                <w:lang w:eastAsia="zh-CN"/>
              </w:rPr>
            </w:pPr>
            <w:r>
              <w:rPr>
                <w:rFonts w:hint="eastAsia" w:ascii="微软雅黑" w:hAnsi="微软雅黑" w:eastAsia="微软雅黑" w:cs="微软雅黑"/>
                <w:sz w:val="20"/>
                <w:szCs w:val="20"/>
                <w:highlight w:val="none"/>
                <w:lang w:eastAsia="zh-CN"/>
              </w:rPr>
              <w:t>提供方案；格式自拟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00"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c>
          <w:tcPr>
            <w:tcW w:w="1022"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c>
          <w:tcPr>
            <w:tcW w:w="1121" w:type="dxa"/>
            <w:noWrap w:val="0"/>
            <w:vAlign w:val="center"/>
          </w:tcPr>
          <w:p>
            <w:pPr>
              <w:spacing w:line="240" w:lineRule="atLeast"/>
              <w:ind w:firstLine="28"/>
              <w:jc w:val="center"/>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宣传方案</w:t>
            </w:r>
          </w:p>
        </w:tc>
        <w:tc>
          <w:tcPr>
            <w:tcW w:w="682" w:type="dxa"/>
            <w:noWrap w:val="0"/>
            <w:vAlign w:val="center"/>
          </w:tcPr>
          <w:p>
            <w:pPr>
              <w:spacing w:line="240" w:lineRule="atLeast"/>
              <w:ind w:firstLine="28"/>
              <w:jc w:val="center"/>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20</w:t>
            </w:r>
          </w:p>
        </w:tc>
        <w:tc>
          <w:tcPr>
            <w:tcW w:w="4759" w:type="dxa"/>
            <w:noWrap w:val="0"/>
            <w:vAlign w:val="center"/>
          </w:tcPr>
          <w:p>
            <w:pPr>
              <w:spacing w:line="240" w:lineRule="auto"/>
              <w:ind w:firstLine="0"/>
              <w:jc w:val="left"/>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eastAsia="zh-CN"/>
              </w:rPr>
              <w:t>根据第二篇服务内容和要求拟定方案</w:t>
            </w:r>
            <w:r>
              <w:rPr>
                <w:rFonts w:hint="eastAsia" w:ascii="微软雅黑" w:hAnsi="微软雅黑" w:eastAsia="微软雅黑" w:cs="微软雅黑"/>
                <w:color w:val="auto"/>
                <w:sz w:val="20"/>
                <w:szCs w:val="20"/>
                <w:highlight w:val="none"/>
              </w:rPr>
              <w:t>。</w:t>
            </w:r>
            <w:r>
              <w:rPr>
                <w:rFonts w:hint="eastAsia" w:ascii="微软雅黑" w:hAnsi="微软雅黑" w:eastAsia="微软雅黑" w:cs="微软雅黑"/>
                <w:color w:val="auto"/>
                <w:sz w:val="20"/>
                <w:szCs w:val="20"/>
                <w:highlight w:val="none"/>
                <w:lang w:val="en-US" w:eastAsia="zh-CN"/>
              </w:rPr>
              <w:t>根据方案针对性，可执行性进行评审。针对性，可执行性强的得优20分；针对性，可执行性较强的得良15分；</w:t>
            </w:r>
          </w:p>
          <w:p>
            <w:pPr>
              <w:spacing w:line="240" w:lineRule="auto"/>
              <w:ind w:firstLine="0"/>
              <w:jc w:val="left"/>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针对性，可执行性较一般的得10分；无针对性，不可执行性为差的得5分，不提供方案得0分。</w:t>
            </w:r>
          </w:p>
        </w:tc>
        <w:tc>
          <w:tcPr>
            <w:tcW w:w="1064"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00"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c>
          <w:tcPr>
            <w:tcW w:w="1022"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c>
          <w:tcPr>
            <w:tcW w:w="1121" w:type="dxa"/>
            <w:noWrap w:val="0"/>
            <w:vAlign w:val="center"/>
          </w:tcPr>
          <w:p>
            <w:pPr>
              <w:spacing w:line="240" w:lineRule="atLeast"/>
              <w:ind w:firstLine="28"/>
              <w:jc w:val="center"/>
              <w:rPr>
                <w:rFonts w:hint="eastAsia" w:ascii="微软雅黑" w:hAnsi="微软雅黑" w:eastAsia="微软雅黑" w:cs="微软雅黑"/>
                <w:sz w:val="20"/>
                <w:szCs w:val="20"/>
                <w:highlight w:val="none"/>
              </w:rPr>
            </w:pPr>
            <w:bookmarkStart w:id="58" w:name="_Hlk98168093"/>
            <w:r>
              <w:rPr>
                <w:rFonts w:hint="default" w:ascii="微软雅黑" w:hAnsi="微软雅黑" w:eastAsia="微软雅黑" w:cs="微软雅黑"/>
                <w:sz w:val="20"/>
                <w:szCs w:val="20"/>
                <w:highlight w:val="none"/>
                <w:lang w:val="en-US" w:eastAsia="zh-CN"/>
              </w:rPr>
              <w:t>服务保障方案</w:t>
            </w:r>
            <w:bookmarkEnd w:id="58"/>
          </w:p>
        </w:tc>
        <w:tc>
          <w:tcPr>
            <w:tcW w:w="682" w:type="dxa"/>
            <w:noWrap w:val="0"/>
            <w:vAlign w:val="center"/>
          </w:tcPr>
          <w:p>
            <w:pPr>
              <w:spacing w:line="240" w:lineRule="atLeast"/>
              <w:ind w:firstLine="28"/>
              <w:jc w:val="center"/>
              <w:rPr>
                <w:rFonts w:hint="default"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20</w:t>
            </w:r>
          </w:p>
        </w:tc>
        <w:tc>
          <w:tcPr>
            <w:tcW w:w="4759" w:type="dxa"/>
            <w:noWrap w:val="0"/>
            <w:vAlign w:val="center"/>
          </w:tcPr>
          <w:p>
            <w:pPr>
              <w:spacing w:line="240" w:lineRule="auto"/>
              <w:ind w:firstLine="0"/>
              <w:jc w:val="left"/>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保证项目顺利开展的工作安排、制度建设等，应结合项目特点、实际情况，充分考虑组织管理、人员安排、监督考核、信息反馈等内容，确保服务保障建设全面、合理、可行。根据方案针对性，可执行性进行评审。针对性，可执行性强的得优20分；针对性，可执行性较强的得良15分；</w:t>
            </w:r>
          </w:p>
          <w:p>
            <w:pPr>
              <w:spacing w:line="240" w:lineRule="auto"/>
              <w:ind w:firstLine="0"/>
              <w:jc w:val="left"/>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针对性，可执行性较一般的得10分；无针对性，不可执行性为差的得5分，不提供方案得0分。</w:t>
            </w:r>
          </w:p>
        </w:tc>
        <w:tc>
          <w:tcPr>
            <w:tcW w:w="1064" w:type="dxa"/>
            <w:vMerge w:val="continue"/>
            <w:noWrap w:val="0"/>
            <w:vAlign w:val="center"/>
          </w:tcPr>
          <w:p>
            <w:pPr>
              <w:spacing w:line="240" w:lineRule="atLeast"/>
              <w:ind w:firstLine="28"/>
              <w:jc w:val="center"/>
              <w:rPr>
                <w:rFonts w:hint="eastAsia" w:ascii="微软雅黑" w:hAnsi="微软雅黑" w:eastAsia="微软雅黑" w:cs="微软雅黑"/>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gridSpan w:val="6"/>
            <w:noWrap w:val="0"/>
            <w:vAlign w:val="center"/>
          </w:tcPr>
          <w:p>
            <w:pPr>
              <w:spacing w:line="240" w:lineRule="atLeast"/>
              <w:rPr>
                <w:rFonts w:hint="eastAsia" w:ascii="微软雅黑" w:hAnsi="微软雅黑" w:eastAsia="微软雅黑" w:cs="微软雅黑"/>
                <w:color w:val="auto"/>
                <w:sz w:val="20"/>
                <w:szCs w:val="20"/>
              </w:rPr>
            </w:pPr>
            <w:r>
              <w:rPr>
                <w:rFonts w:hint="eastAsia" w:ascii="微软雅黑" w:hAnsi="微软雅黑" w:eastAsia="微软雅黑" w:cs="微软雅黑"/>
                <w:color w:val="auto"/>
                <w:sz w:val="20"/>
                <w:szCs w:val="20"/>
              </w:rPr>
              <w:t>供应商的应答应满足竞争性</w:t>
            </w:r>
            <w:r>
              <w:rPr>
                <w:rFonts w:hint="eastAsia" w:ascii="微软雅黑" w:hAnsi="微软雅黑" w:eastAsia="微软雅黑" w:cs="微软雅黑"/>
                <w:color w:val="auto"/>
                <w:sz w:val="20"/>
                <w:szCs w:val="20"/>
                <w:lang w:eastAsia="zh-CN"/>
              </w:rPr>
              <w:t>比选</w:t>
            </w:r>
            <w:r>
              <w:rPr>
                <w:rFonts w:hint="eastAsia" w:ascii="微软雅黑" w:hAnsi="微软雅黑" w:eastAsia="微软雅黑" w:cs="微软雅黑"/>
                <w:color w:val="auto"/>
                <w:sz w:val="20"/>
                <w:szCs w:val="20"/>
              </w:rPr>
              <w:t>文件“第三篇 项目商务要求”，有一条不满足的，商务部分得分为0分，不再进入商务部分的评审。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00" w:type="dxa"/>
            <w:noWrap w:val="0"/>
            <w:vAlign w:val="center"/>
          </w:tcPr>
          <w:p>
            <w:pPr>
              <w:spacing w:line="240" w:lineRule="atLeast"/>
              <w:ind w:firstLine="28"/>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p>
        </w:tc>
        <w:tc>
          <w:tcPr>
            <w:tcW w:w="1022" w:type="dxa"/>
            <w:tcBorders>
              <w:top w:val="single" w:color="auto" w:sz="4" w:space="0"/>
              <w:right w:val="single" w:color="auto" w:sz="4" w:space="0"/>
            </w:tcBorders>
            <w:noWrap w:val="0"/>
            <w:vAlign w:val="center"/>
          </w:tcPr>
          <w:p>
            <w:pPr>
              <w:spacing w:line="240" w:lineRule="atLeast"/>
              <w:ind w:firstLine="28"/>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商务部分</w:t>
            </w:r>
          </w:p>
          <w:p>
            <w:pPr>
              <w:spacing w:line="240" w:lineRule="atLeast"/>
              <w:ind w:firstLine="28"/>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w:t>
            </w:r>
            <w:r>
              <w:rPr>
                <w:rFonts w:hint="eastAsia" w:ascii="微软雅黑" w:hAnsi="微软雅黑" w:eastAsia="微软雅黑" w:cs="微软雅黑"/>
                <w:sz w:val="20"/>
                <w:szCs w:val="20"/>
                <w:lang w:val="en-US" w:eastAsia="zh-CN"/>
              </w:rPr>
              <w:t>20</w:t>
            </w:r>
            <w:r>
              <w:rPr>
                <w:rFonts w:hint="eastAsia" w:ascii="微软雅黑" w:hAnsi="微软雅黑" w:eastAsia="微软雅黑" w:cs="微软雅黑"/>
                <w:sz w:val="20"/>
                <w:szCs w:val="20"/>
              </w:rPr>
              <w:t>%）</w:t>
            </w:r>
          </w:p>
        </w:tc>
        <w:tc>
          <w:tcPr>
            <w:tcW w:w="1121" w:type="dxa"/>
            <w:tcBorders>
              <w:top w:val="single" w:color="auto" w:sz="4" w:space="0"/>
              <w:right w:val="single" w:color="auto" w:sz="4" w:space="0"/>
            </w:tcBorders>
            <w:noWrap w:val="0"/>
            <w:vAlign w:val="center"/>
          </w:tcPr>
          <w:p>
            <w:pPr>
              <w:tabs>
                <w:tab w:val="left" w:pos="411"/>
              </w:tabs>
              <w:spacing w:line="240" w:lineRule="atLeast"/>
              <w:ind w:firstLine="218" w:firstLineChars="109"/>
              <w:jc w:val="left"/>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业绩</w:t>
            </w:r>
          </w:p>
        </w:tc>
        <w:tc>
          <w:tcPr>
            <w:tcW w:w="682" w:type="dxa"/>
            <w:tcBorders>
              <w:top w:val="single" w:color="auto" w:sz="4" w:space="0"/>
              <w:left w:val="single" w:color="auto" w:sz="4" w:space="0"/>
              <w:right w:val="single" w:color="auto" w:sz="4" w:space="0"/>
            </w:tcBorders>
            <w:noWrap w:val="0"/>
            <w:vAlign w:val="center"/>
          </w:tcPr>
          <w:p>
            <w:pPr>
              <w:spacing w:line="240" w:lineRule="atLeast"/>
              <w:ind w:firstLine="28" w:firstLineChars="0"/>
              <w:jc w:val="center"/>
              <w:rPr>
                <w:rFonts w:hint="default" w:ascii="微软雅黑" w:hAnsi="微软雅黑" w:eastAsia="微软雅黑" w:cs="微软雅黑"/>
                <w:color w:val="FF0000"/>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20</w:t>
            </w:r>
          </w:p>
        </w:tc>
        <w:tc>
          <w:tcPr>
            <w:tcW w:w="4759" w:type="dxa"/>
            <w:tcBorders>
              <w:top w:val="single" w:color="auto" w:sz="4" w:space="0"/>
              <w:left w:val="single" w:color="auto" w:sz="4" w:space="0"/>
              <w:right w:val="single" w:color="auto" w:sz="4" w:space="0"/>
            </w:tcBorders>
            <w:noWrap w:val="0"/>
            <w:vAlign w:val="center"/>
          </w:tcPr>
          <w:p>
            <w:pPr>
              <w:spacing w:line="240" w:lineRule="auto"/>
              <w:ind w:firstLine="0" w:firstLineChars="0"/>
              <w:jc w:val="left"/>
              <w:rPr>
                <w:rFonts w:hint="default" w:ascii="微软雅黑" w:hAnsi="微软雅黑" w:eastAsia="微软雅黑" w:cs="微软雅黑"/>
                <w:color w:val="auto"/>
                <w:sz w:val="20"/>
                <w:szCs w:val="20"/>
                <w:highlight w:val="none"/>
                <w:lang w:val="en-US" w:eastAsia="zh-CN"/>
              </w:rPr>
            </w:pPr>
            <w:r>
              <w:rPr>
                <w:rFonts w:hint="default" w:ascii="微软雅黑" w:hAnsi="微软雅黑" w:eastAsia="微软雅黑" w:cs="微软雅黑"/>
                <w:color w:val="auto"/>
                <w:sz w:val="20"/>
                <w:szCs w:val="20"/>
                <w:highlight w:val="none"/>
                <w:lang w:val="en-US" w:eastAsia="zh-CN"/>
              </w:rPr>
              <w:t>1、自2020年1月1日至今（以合同签订时间为准），投标人承接过与本项目类似的宣传业绩，每有1个业绩得</w:t>
            </w:r>
            <w:r>
              <w:rPr>
                <w:rFonts w:hint="eastAsia" w:ascii="微软雅黑" w:hAnsi="微软雅黑" w:eastAsia="微软雅黑" w:cs="微软雅黑"/>
                <w:color w:val="auto"/>
                <w:sz w:val="20"/>
                <w:szCs w:val="20"/>
                <w:highlight w:val="none"/>
                <w:lang w:val="en-US" w:eastAsia="zh-CN"/>
              </w:rPr>
              <w:t>4</w:t>
            </w:r>
            <w:r>
              <w:rPr>
                <w:rFonts w:hint="default" w:ascii="微软雅黑" w:hAnsi="微软雅黑" w:eastAsia="微软雅黑" w:cs="微软雅黑"/>
                <w:color w:val="auto"/>
                <w:sz w:val="20"/>
                <w:szCs w:val="20"/>
                <w:highlight w:val="none"/>
                <w:lang w:val="en-US" w:eastAsia="zh-CN"/>
              </w:rPr>
              <w:t>分，最高得</w:t>
            </w:r>
            <w:r>
              <w:rPr>
                <w:rFonts w:hint="eastAsia" w:ascii="微软雅黑" w:hAnsi="微软雅黑" w:eastAsia="微软雅黑" w:cs="微软雅黑"/>
                <w:color w:val="auto"/>
                <w:sz w:val="20"/>
                <w:szCs w:val="20"/>
                <w:highlight w:val="none"/>
                <w:lang w:val="en-US" w:eastAsia="zh-CN"/>
              </w:rPr>
              <w:t>20</w:t>
            </w:r>
            <w:r>
              <w:rPr>
                <w:rFonts w:hint="default" w:ascii="微软雅黑" w:hAnsi="微软雅黑" w:eastAsia="微软雅黑" w:cs="微软雅黑"/>
                <w:color w:val="auto"/>
                <w:sz w:val="20"/>
                <w:szCs w:val="20"/>
                <w:highlight w:val="none"/>
                <w:lang w:val="en-US" w:eastAsia="zh-CN"/>
              </w:rPr>
              <w:t>分。</w:t>
            </w:r>
          </w:p>
        </w:tc>
        <w:tc>
          <w:tcPr>
            <w:tcW w:w="1064" w:type="dxa"/>
            <w:tcBorders>
              <w:top w:val="single" w:color="auto" w:sz="4" w:space="0"/>
              <w:left w:val="single" w:color="auto" w:sz="4" w:space="0"/>
              <w:right w:val="single" w:color="auto" w:sz="4" w:space="0"/>
            </w:tcBorders>
            <w:noWrap w:val="0"/>
            <w:vAlign w:val="center"/>
          </w:tcPr>
          <w:p>
            <w:pPr>
              <w:spacing w:line="240" w:lineRule="auto"/>
              <w:ind w:firstLine="0" w:firstLineChars="0"/>
              <w:jc w:val="left"/>
              <w:rPr>
                <w:rFonts w:hint="eastAsia" w:eastAsia="宋体"/>
                <w:lang w:eastAsia="zh-CN"/>
              </w:rPr>
            </w:pPr>
            <w:r>
              <w:rPr>
                <w:rFonts w:hint="eastAsia" w:ascii="微软雅黑" w:hAnsi="微软雅黑" w:eastAsia="微软雅黑" w:cs="微软雅黑"/>
                <w:sz w:val="20"/>
                <w:szCs w:val="20"/>
                <w:highlight w:val="none"/>
                <w:lang w:val="en-US" w:eastAsia="zh-CN"/>
              </w:rPr>
              <w:t>提供业绩合同复印件，并加盖供应商公章。</w:t>
            </w:r>
          </w:p>
        </w:tc>
      </w:tr>
    </w:tbl>
    <w:p>
      <w:pPr>
        <w:rPr>
          <w:rFonts w:hint="eastAsia"/>
        </w:rPr>
      </w:pPr>
    </w:p>
    <w:p>
      <w:pPr>
        <w:pStyle w:val="5"/>
        <w:spacing w:before="0" w:after="0" w:line="500" w:lineRule="exact"/>
        <w:ind w:firstLine="480" w:firstLineChars="200"/>
        <w:rPr>
          <w:rFonts w:hint="eastAsia" w:ascii="微软雅黑" w:hAnsi="微软雅黑" w:eastAsia="微软雅黑" w:cs="微软雅黑"/>
          <w:sz w:val="24"/>
          <w:szCs w:val="24"/>
        </w:rPr>
      </w:pPr>
      <w:bookmarkStart w:id="59" w:name="_Toc54353624"/>
      <w:bookmarkStart w:id="60" w:name="_Toc5289"/>
      <w:r>
        <w:rPr>
          <w:rFonts w:hint="eastAsia" w:ascii="微软雅黑" w:hAnsi="微软雅黑" w:eastAsia="微软雅黑" w:cs="微软雅黑"/>
          <w:sz w:val="24"/>
          <w:szCs w:val="24"/>
        </w:rPr>
        <w:t>三、无效响应</w:t>
      </w:r>
      <w:bookmarkEnd w:id="59"/>
      <w:bookmarkEnd w:id="60"/>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供应商发生以下条款情况之一者，视为无效响应，其响应文件将被拒绝：</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（一）供应商不符合规定的基本资格条件或特定资格条件的；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（二）供应商的法定代表人或其授权代表未参加</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（三）供应商所提交的响应文件不按第七篇“响应文件编制要求”规定签字、盖章；</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（四）供应商的报价超过采购预算或最高限价的；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（五）法定代表人为同一个人的两个及两个以上法人，母公司、全资子公司及其控股公司，在同一分包采购中同时参与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（六）单位负责人为同一人或者存在直接控股、管理关系的不同供应商，参加同一合同项下的政府采购活动的；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（七）为采购项目提供整体设计、规范编制或者项目管理、监理、检测等服务的供应商，再参加该采购项目的其他采购活动；</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（八）供应商</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有效期不满足竞争性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文件要求的；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（九）供应商响应文件内容有与国家现行法律法规相违背的内容，或附有采购人无法接受的条件。</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（十）供应商以联合体形式参与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的；</w:t>
      </w:r>
    </w:p>
    <w:p>
      <w:pPr>
        <w:pStyle w:val="5"/>
        <w:spacing w:before="0" w:after="0" w:line="500" w:lineRule="exact"/>
        <w:ind w:firstLine="480" w:firstLineChars="200"/>
        <w:rPr>
          <w:rFonts w:hint="eastAsia" w:ascii="微软雅黑" w:hAnsi="微软雅黑" w:eastAsia="微软雅黑" w:cs="微软雅黑"/>
          <w:sz w:val="24"/>
          <w:szCs w:val="24"/>
        </w:rPr>
      </w:pPr>
      <w:bookmarkStart w:id="61" w:name="_Toc17951"/>
      <w:bookmarkStart w:id="62" w:name="_Toc54353625"/>
      <w:r>
        <w:rPr>
          <w:rFonts w:hint="eastAsia" w:ascii="微软雅黑" w:hAnsi="微软雅黑" w:eastAsia="微软雅黑" w:cs="微软雅黑"/>
          <w:sz w:val="24"/>
          <w:szCs w:val="24"/>
        </w:rPr>
        <w:t>四、</w:t>
      </w:r>
      <w:bookmarkEnd w:id="55"/>
      <w:bookmarkEnd w:id="56"/>
      <w:r>
        <w:rPr>
          <w:rFonts w:hint="eastAsia" w:ascii="微软雅黑" w:hAnsi="微软雅黑" w:eastAsia="微软雅黑" w:cs="微软雅黑"/>
          <w:sz w:val="24"/>
          <w:szCs w:val="24"/>
        </w:rPr>
        <w:t>采购终止</w:t>
      </w:r>
      <w:bookmarkEnd w:id="61"/>
      <w:bookmarkEnd w:id="62"/>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出现下列情形之一的，采购人或者采购代理机构应当终止竞争性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采购活动，发布项目终止公告并说明原因，重新开展采购活动：</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（一）因情况变化，不再符合规定的竞争性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采购方式适用情形的；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（二）出现影响采购公正的违法、违规行为的；</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（三）在采购过程中符合要求的供应商或者报价未超过采购预算的供应商不足3家的，但《政府采购竞争性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采购方式管理暂行办法》第二十一条第三款规定的情形除外。</w:t>
      </w:r>
    </w:p>
    <w:p>
      <w:pPr>
        <w:spacing w:line="360" w:lineRule="auto"/>
        <w:ind w:firstLine="480" w:firstLineChars="200"/>
        <w:rPr>
          <w:rFonts w:hint="eastAsia" w:ascii="微软雅黑" w:hAnsi="微软雅黑" w:eastAsia="微软雅黑" w:cs="微软雅黑"/>
          <w:sz w:val="24"/>
          <w:szCs w:val="24"/>
        </w:rPr>
        <w:sectPr>
          <w:pgSz w:w="11907" w:h="16840"/>
          <w:pgMar w:top="1134" w:right="1191" w:bottom="1134" w:left="1304" w:header="964" w:footer="992" w:gutter="0"/>
          <w:pgNumType w:fmt="decimal"/>
          <w:cols w:space="720" w:num="1"/>
          <w:docGrid w:linePitch="312" w:charSpace="0"/>
        </w:sectPr>
      </w:pPr>
    </w:p>
    <w:p>
      <w:pPr>
        <w:pStyle w:val="4"/>
        <w:spacing w:line="360" w:lineRule="auto"/>
        <w:ind w:left="0" w:leftChars="0" w:firstLine="0" w:firstLineChars="0"/>
        <w:jc w:val="center"/>
        <w:rPr>
          <w:rFonts w:hint="eastAsia" w:ascii="微软雅黑" w:hAnsi="微软雅黑" w:eastAsia="微软雅黑" w:cs="微软雅黑"/>
          <w:b w:val="0"/>
          <w:szCs w:val="30"/>
        </w:rPr>
      </w:pPr>
      <w:bookmarkStart w:id="63" w:name="_Toc54353626"/>
      <w:bookmarkStart w:id="64" w:name="_Toc5577"/>
      <w:bookmarkStart w:id="65" w:name="_Toc102227313"/>
      <w:r>
        <w:rPr>
          <w:rFonts w:hint="eastAsia" w:ascii="微软雅黑" w:hAnsi="微软雅黑" w:eastAsia="微软雅黑" w:cs="微软雅黑"/>
          <w:b w:val="0"/>
          <w:sz w:val="36"/>
          <w:szCs w:val="30"/>
        </w:rPr>
        <w:t>第五篇  供应商须知</w:t>
      </w:r>
      <w:bookmarkEnd w:id="63"/>
      <w:bookmarkEnd w:id="64"/>
      <w:bookmarkEnd w:id="65"/>
    </w:p>
    <w:p>
      <w:pPr>
        <w:pStyle w:val="5"/>
        <w:spacing w:before="0" w:after="0" w:line="500" w:lineRule="exact"/>
        <w:ind w:firstLine="480" w:firstLineChars="200"/>
        <w:rPr>
          <w:rFonts w:hint="eastAsia" w:ascii="微软雅黑" w:hAnsi="微软雅黑" w:eastAsia="微软雅黑" w:cs="微软雅黑"/>
          <w:sz w:val="24"/>
          <w:szCs w:val="24"/>
        </w:rPr>
      </w:pPr>
      <w:bookmarkStart w:id="66" w:name="_Toc54353627"/>
      <w:bookmarkStart w:id="67" w:name="_Toc20251"/>
      <w:bookmarkStart w:id="68" w:name="_Toc342913389"/>
      <w:r>
        <w:rPr>
          <w:rFonts w:hint="eastAsia" w:ascii="微软雅黑" w:hAnsi="微软雅黑" w:eastAsia="微软雅黑" w:cs="微软雅黑"/>
          <w:sz w:val="24"/>
          <w:szCs w:val="24"/>
        </w:rPr>
        <w:t>一、</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费用</w:t>
      </w:r>
      <w:bookmarkEnd w:id="66"/>
      <w:bookmarkEnd w:id="67"/>
      <w:bookmarkEnd w:id="68"/>
    </w:p>
    <w:p>
      <w:pPr>
        <w:pStyle w:val="2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参与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的供应商应承担其编制响应文件与递交响应文件所涉及的一切费用，不论</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结果如何，采购人和采购代理机构在任何情况下无义务也无责任承担这些费用。</w:t>
      </w:r>
    </w:p>
    <w:p>
      <w:pPr>
        <w:pStyle w:val="5"/>
        <w:tabs>
          <w:tab w:val="left" w:pos="2640"/>
        </w:tabs>
        <w:spacing w:before="0" w:after="0" w:line="500" w:lineRule="exact"/>
        <w:ind w:firstLine="480" w:firstLineChars="200"/>
        <w:rPr>
          <w:rFonts w:hint="eastAsia" w:ascii="微软雅黑" w:hAnsi="微软雅黑" w:eastAsia="微软雅黑" w:cs="微软雅黑"/>
          <w:sz w:val="24"/>
          <w:szCs w:val="24"/>
        </w:rPr>
      </w:pPr>
      <w:bookmarkStart w:id="69" w:name="_Toc54353628"/>
      <w:bookmarkStart w:id="70" w:name="_Toc27873"/>
      <w:bookmarkStart w:id="71" w:name="_Toc342913391"/>
      <w:r>
        <w:rPr>
          <w:rFonts w:hint="eastAsia" w:ascii="微软雅黑" w:hAnsi="微软雅黑" w:eastAsia="微软雅黑" w:cs="微软雅黑"/>
          <w:sz w:val="24"/>
          <w:szCs w:val="24"/>
        </w:rPr>
        <w:t>二、竞争性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w:t>
      </w:r>
      <w:bookmarkEnd w:id="69"/>
      <w:bookmarkEnd w:id="70"/>
      <w:bookmarkEnd w:id="71"/>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文件由采购邀请书、项目服务需求、供应商须知、项目商务需求、</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程序及方法、评审标准、无效响应和采购终止、供应商须知</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政府采购合同</w:t>
      </w:r>
      <w:r>
        <w:rPr>
          <w:rFonts w:hint="eastAsia" w:ascii="微软雅黑" w:hAnsi="微软雅黑" w:eastAsia="微软雅黑" w:cs="微软雅黑"/>
          <w:b/>
          <w:sz w:val="24"/>
          <w:szCs w:val="24"/>
        </w:rPr>
        <w:t>、</w:t>
      </w:r>
      <w:r>
        <w:rPr>
          <w:rFonts w:hint="eastAsia" w:ascii="微软雅黑" w:hAnsi="微软雅黑" w:eastAsia="微软雅黑" w:cs="微软雅黑"/>
          <w:sz w:val="24"/>
          <w:szCs w:val="24"/>
        </w:rPr>
        <w:t>响应文件编制要求七部分组成。</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（二）采购人（或采购代理机构）所作的一切有效的书面通知、修改及补充，都是竞争性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文件不可分割的部分。</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文件的解释</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供应商如对竞争性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有疑问，必须以书面形式在提交响应文件截止时间3个工作日前向采购人（或采购代理机构）要求澄清，采购人（或采购代理机构）可视具体情况做出处理或答复。如供应商未提出疑问，视为完全理解并同意本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文件。一经进入</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程序，即视为供应商已详细阅读全部文件资料，完全理解竞争性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文件所有条款内容并同意放弃对这方面有不明白及误解的权利。</w:t>
      </w:r>
      <w:bookmarkStart w:id="72" w:name="_Toc318159160"/>
      <w:bookmarkStart w:id="73" w:name="_Toc318166429"/>
      <w:bookmarkStart w:id="74" w:name="_Toc318159780"/>
      <w:bookmarkStart w:id="75" w:name="_Toc318159349"/>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（四）本竞争性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文件中，</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小组根据与供应商进行</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可能实质性变动的内容为竞争性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文件第二、三、六篇全部内容。</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（五）评审的依据为竞争性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文件和响应文件（含有效的书面承诺）。</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小组判断响应文件对竞争性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文件的响应，仅基于响应文件本身而不靠外部证据。</w:t>
      </w:r>
      <w:bookmarkEnd w:id="72"/>
      <w:bookmarkEnd w:id="73"/>
      <w:bookmarkEnd w:id="74"/>
      <w:bookmarkEnd w:id="75"/>
    </w:p>
    <w:p>
      <w:pPr>
        <w:pStyle w:val="5"/>
        <w:spacing w:before="0" w:after="0" w:line="500" w:lineRule="exact"/>
        <w:ind w:firstLine="480" w:firstLineChars="200"/>
        <w:rPr>
          <w:rFonts w:hint="eastAsia" w:ascii="微软雅黑" w:hAnsi="微软雅黑" w:eastAsia="微软雅黑" w:cs="微软雅黑"/>
          <w:sz w:val="24"/>
          <w:szCs w:val="24"/>
        </w:rPr>
      </w:pPr>
      <w:bookmarkStart w:id="76" w:name="_Toc179714297"/>
      <w:bookmarkStart w:id="77" w:name="_Toc342913392"/>
      <w:bookmarkStart w:id="78" w:name="_Toc11848"/>
      <w:bookmarkStart w:id="79" w:name="_Toc102227318"/>
      <w:bookmarkStart w:id="80" w:name="_Toc54353629"/>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要求</w:t>
      </w:r>
      <w:bookmarkEnd w:id="76"/>
      <w:bookmarkEnd w:id="77"/>
      <w:bookmarkEnd w:id="78"/>
      <w:bookmarkEnd w:id="79"/>
      <w:bookmarkEnd w:id="80"/>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（一）响应文件</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1.供应商应当按照竞争性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文件的要求编制响应文件，并对竞争性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文件提出的要求和条件作出实质性响应。</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2.响应文件组成</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（二）联合体</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本项目不接受联合体参与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有效期：响应文件及有关承诺文件有效期为提交响应文件截止时间起90天。</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（四）修正错误</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1.若供应商所递交的响应文件或</w:t>
      </w:r>
      <w:bookmarkStart w:id="135" w:name="_GoBack"/>
      <w:bookmarkEnd w:id="135"/>
      <w:r>
        <w:rPr>
          <w:rFonts w:hint="eastAsia" w:ascii="微软雅黑" w:hAnsi="微软雅黑" w:eastAsia="微软雅黑" w:cs="微软雅黑"/>
          <w:sz w:val="24"/>
          <w:szCs w:val="24"/>
        </w:rPr>
        <w:t>报价中的价格出现大写金额和小写金额不一致的错误，以大写金额修正为准。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（五）提交响应文件的份数和签署</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sz w:val="24"/>
        </w:rPr>
        <w:t>在响应文件正本中，竞争性</w:t>
      </w:r>
      <w:r>
        <w:rPr>
          <w:rFonts w:hint="eastAsia" w:ascii="微软雅黑" w:hAnsi="微软雅黑" w:eastAsia="微软雅黑" w:cs="微软雅黑"/>
          <w:sz w:val="24"/>
          <w:lang w:eastAsia="zh-CN"/>
        </w:rPr>
        <w:t>比选</w:t>
      </w:r>
      <w:r>
        <w:rPr>
          <w:rFonts w:hint="eastAsia" w:ascii="微软雅黑" w:hAnsi="微软雅黑" w:eastAsia="微软雅黑" w:cs="微软雅黑"/>
          <w:sz w:val="24"/>
        </w:rPr>
        <w:t>文件第六篇响应文件编制要求中规定签字、盖章的地方必须按其规定签字、盖章。</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（六）响应文件的递交</w:t>
      </w:r>
    </w:p>
    <w:p>
      <w:pPr>
        <w:pStyle w:val="9"/>
        <w:spacing w:line="50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响应文件的正本、副本以及电子文档均应密封送达</w:t>
      </w:r>
      <w:r>
        <w:rPr>
          <w:rFonts w:hint="eastAsia" w:ascii="微软雅黑" w:hAnsi="微软雅黑" w:eastAsia="微软雅黑" w:cs="微软雅黑"/>
          <w:sz w:val="24"/>
          <w:lang w:eastAsia="zh-CN"/>
        </w:rPr>
        <w:t>比选</w:t>
      </w:r>
      <w:r>
        <w:rPr>
          <w:rFonts w:hint="eastAsia" w:ascii="微软雅黑" w:hAnsi="微软雅黑" w:eastAsia="微软雅黑" w:cs="微软雅黑"/>
          <w:sz w:val="24"/>
        </w:rPr>
        <w:t>地点，应在封套上注明</w:t>
      </w:r>
      <w:r>
        <w:rPr>
          <w:rFonts w:hint="eastAsia" w:ascii="微软雅黑" w:hAnsi="微软雅黑" w:eastAsia="微软雅黑" w:cs="微软雅黑"/>
          <w:sz w:val="24"/>
          <w:lang w:eastAsia="zh-CN"/>
        </w:rPr>
        <w:t>比选</w:t>
      </w:r>
      <w:r>
        <w:rPr>
          <w:rFonts w:hint="eastAsia" w:ascii="微软雅黑" w:hAnsi="微软雅黑" w:eastAsia="微软雅黑" w:cs="微软雅黑"/>
          <w:sz w:val="24"/>
        </w:rPr>
        <w:t>项目名称、供应商名称。若正本、副本以及电子文档分别进行密封的，还应在封套上注明“正本”、“副本”、“电子文档”字样。</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（七）供应商参与人员</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各个供应商应当派1-2名代表参与</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，至少1人应为法定代表人或具有法定代表人授权委托书的授权代表。</w:t>
      </w:r>
    </w:p>
    <w:p>
      <w:pPr>
        <w:pStyle w:val="5"/>
        <w:spacing w:before="0" w:after="0" w:line="500" w:lineRule="exact"/>
        <w:ind w:firstLine="480" w:firstLineChars="200"/>
        <w:rPr>
          <w:rFonts w:hint="eastAsia" w:ascii="微软雅黑" w:hAnsi="微软雅黑" w:eastAsia="微软雅黑" w:cs="微软雅黑"/>
          <w:sz w:val="24"/>
          <w:szCs w:val="24"/>
        </w:rPr>
      </w:pPr>
      <w:bookmarkStart w:id="81" w:name="_Toc29211"/>
      <w:bookmarkStart w:id="82" w:name="_Toc54353630"/>
      <w:r>
        <w:rPr>
          <w:rFonts w:hint="eastAsia" w:ascii="微软雅黑" w:hAnsi="微软雅黑" w:eastAsia="微软雅黑" w:cs="微软雅黑"/>
          <w:sz w:val="24"/>
          <w:szCs w:val="24"/>
        </w:rPr>
        <w:t>四、成交供应商的确认和变更</w:t>
      </w:r>
      <w:bookmarkEnd w:id="81"/>
      <w:bookmarkEnd w:id="82"/>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（一）成交供应商的确认</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采购人应当在收到评审结束后5个工作日内，按照评分排序由高到低的原则确定成交供应商。</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（二）成交供应商的变更</w:t>
      </w: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500" w:lineRule="exact"/>
        <w:ind w:firstLine="480" w:firstLineChars="200"/>
        <w:rPr>
          <w:rFonts w:hint="eastAsia" w:ascii="微软雅黑" w:hAnsi="微软雅黑" w:eastAsia="微软雅黑" w:cs="微软雅黑"/>
          <w:sz w:val="24"/>
          <w:szCs w:val="24"/>
        </w:rPr>
      </w:pPr>
      <w:bookmarkStart w:id="83" w:name="_Toc54353631"/>
      <w:bookmarkStart w:id="84" w:name="_Toc342913395"/>
      <w:bookmarkStart w:id="85" w:name="_Toc102227321"/>
      <w:bookmarkStart w:id="86" w:name="_Toc17917"/>
      <w:r>
        <w:rPr>
          <w:rFonts w:hint="eastAsia" w:ascii="微软雅黑" w:hAnsi="微软雅黑" w:eastAsia="微软雅黑" w:cs="微软雅黑"/>
          <w:sz w:val="24"/>
          <w:szCs w:val="24"/>
        </w:rPr>
        <w:t>五、成交通知</w:t>
      </w:r>
      <w:bookmarkEnd w:id="83"/>
      <w:bookmarkEnd w:id="84"/>
      <w:bookmarkEnd w:id="85"/>
      <w:bookmarkEnd w:id="86"/>
    </w:p>
    <w:p>
      <w:pPr>
        <w:spacing w:line="500" w:lineRule="exact"/>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（一）成交供应商确定后，采购人将在</w:t>
      </w:r>
      <w:r>
        <w:rPr>
          <w:rFonts w:hint="eastAsia" w:ascii="微软雅黑" w:hAnsi="微软雅黑" w:eastAsia="微软雅黑" w:cs="微软雅黑"/>
          <w:color w:val="auto"/>
          <w:sz w:val="24"/>
          <w:szCs w:val="24"/>
          <w:highlight w:val="none"/>
        </w:rPr>
        <w:t>重庆市会展服务中心官网（http://www.cqftit.cn）</w:t>
      </w:r>
      <w:r>
        <w:rPr>
          <w:rFonts w:hint="eastAsia" w:ascii="微软雅黑" w:hAnsi="微软雅黑" w:eastAsia="微软雅黑" w:cs="微软雅黑"/>
          <w:sz w:val="24"/>
          <w:szCs w:val="24"/>
          <w:highlight w:val="none"/>
        </w:rPr>
        <w:t>上发布成交结果公告。</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（二）结果公告发出同时，采购人将以书面形式发出《</w:t>
      </w:r>
      <w:r>
        <w:rPr>
          <w:rFonts w:hint="eastAsia" w:ascii="微软雅黑" w:hAnsi="微软雅黑" w:eastAsia="微软雅黑" w:cs="微软雅黑"/>
          <w:sz w:val="24"/>
          <w:szCs w:val="24"/>
          <w:lang w:eastAsia="zh-CN"/>
        </w:rPr>
        <w:t>中标</w:t>
      </w:r>
      <w:r>
        <w:rPr>
          <w:rFonts w:hint="eastAsia" w:ascii="微软雅黑" w:hAnsi="微软雅黑" w:eastAsia="微软雅黑" w:cs="微软雅黑"/>
          <w:sz w:val="24"/>
          <w:szCs w:val="24"/>
        </w:rPr>
        <w:t>通知书》。《</w:t>
      </w:r>
      <w:r>
        <w:rPr>
          <w:rFonts w:hint="eastAsia" w:ascii="微软雅黑" w:hAnsi="微软雅黑" w:eastAsia="微软雅黑" w:cs="微软雅黑"/>
          <w:sz w:val="24"/>
          <w:szCs w:val="24"/>
          <w:lang w:eastAsia="zh-CN"/>
        </w:rPr>
        <w:t>中标</w:t>
      </w:r>
      <w:r>
        <w:rPr>
          <w:rFonts w:hint="eastAsia" w:ascii="微软雅黑" w:hAnsi="微软雅黑" w:eastAsia="微软雅黑" w:cs="微软雅黑"/>
          <w:sz w:val="24"/>
          <w:szCs w:val="24"/>
        </w:rPr>
        <w:t>通知书》一经发出即发生法律效力。</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w:t>
      </w:r>
      <w:r>
        <w:rPr>
          <w:rFonts w:hint="eastAsia" w:ascii="微软雅黑" w:hAnsi="微软雅黑" w:eastAsia="微软雅黑" w:cs="微软雅黑"/>
          <w:sz w:val="24"/>
          <w:szCs w:val="24"/>
          <w:lang w:eastAsia="zh-CN"/>
        </w:rPr>
        <w:t>中标</w:t>
      </w:r>
      <w:r>
        <w:rPr>
          <w:rFonts w:hint="eastAsia" w:ascii="微软雅黑" w:hAnsi="微软雅黑" w:eastAsia="微软雅黑" w:cs="微软雅黑"/>
          <w:sz w:val="24"/>
          <w:szCs w:val="24"/>
        </w:rPr>
        <w:t>通知书》将作为签订合同的依据。</w:t>
      </w:r>
    </w:p>
    <w:p>
      <w:pPr>
        <w:pStyle w:val="5"/>
        <w:spacing w:before="0" w:after="0" w:line="500" w:lineRule="exact"/>
        <w:ind w:firstLine="480" w:firstLineChars="200"/>
        <w:rPr>
          <w:rFonts w:hint="eastAsia" w:ascii="微软雅黑" w:hAnsi="微软雅黑" w:eastAsia="微软雅黑" w:cs="微软雅黑"/>
          <w:sz w:val="24"/>
          <w:szCs w:val="24"/>
        </w:rPr>
      </w:pPr>
      <w:bookmarkStart w:id="87" w:name="_Toc54353632"/>
      <w:bookmarkStart w:id="88" w:name="_Toc1527"/>
      <w:r>
        <w:rPr>
          <w:rFonts w:hint="eastAsia" w:ascii="微软雅黑" w:hAnsi="微软雅黑" w:eastAsia="微软雅黑" w:cs="微软雅黑"/>
          <w:sz w:val="24"/>
          <w:szCs w:val="24"/>
        </w:rPr>
        <w:t>六、关于质疑和投诉</w:t>
      </w:r>
      <w:bookmarkEnd w:id="87"/>
      <w:bookmarkEnd w:id="88"/>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（一）质疑</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供应商认为采购文件、采购过程和成交结果使自己的权益收到伤害的，可向采购人以书面形式提出质疑。</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提出质疑的应当是参与所质疑项目采购活动的供应商。 </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1.质疑时限、内容</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供应商认为采购文件、采购过程、成交结果使自己的权益受到损害的，可以在知道或者应知其权益受到损害之日起7个工作日内，以书面形式向采购人、采购代理机构提出质疑。</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1.2供应商提出质疑应当提交质疑函和必要的证明材料，质疑函应当包括下列内容：</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1.2.1供应商的姓名或者名称、地址、邮编、联系人及联系电话；</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1.2.2质疑项目的名称、项目号以及</w:t>
      </w:r>
      <w:r>
        <w:rPr>
          <w:rFonts w:hint="eastAsia" w:ascii="微软雅黑" w:hAnsi="微软雅黑" w:eastAsia="微软雅黑" w:cs="微软雅黑"/>
          <w:sz w:val="24"/>
          <w:lang w:eastAsia="zh-CN"/>
        </w:rPr>
        <w:t>比选</w:t>
      </w:r>
      <w:r>
        <w:rPr>
          <w:rFonts w:hint="eastAsia" w:ascii="微软雅黑" w:hAnsi="微软雅黑" w:eastAsia="微软雅黑" w:cs="微软雅黑"/>
          <w:sz w:val="24"/>
        </w:rPr>
        <w:t>项目编号；</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1.2.3具体、明确的质疑事项和与质疑事项相关的请求；</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1.2.4事实依据；</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1.2.5必要的法律依据；</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1.2.6提出质疑的日期；</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1.2.7营业执照（或事业单位法人证书，或个体工商户营业执照或有效的自然人身份证明）复印件；</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1.2.8法定代表人授权委托书原件、法定代表人身份证复印件和其授权代表的身份证复印件（供应商为自然人的提供自然人身份证复印件）；</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1.3供应商为自然人的，质疑函应当由本人签字；供应商为法人或者其他组织的，质疑函应当由法定代表人、主要负责人，或者其授权代表签字或者盖章，并加盖公章。</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2.质疑答复</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采购人应当在收到供应商的书面质疑后七个工作日内作出答复，并以书面形式通知质疑供应商和其他有关供应商。</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3.其他</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3.1供应商应按照《政府采购质疑和投诉办法》（财政部令第94号）及相关法律法规要求，在法定质疑期内一次性提出针对同一采购程序环节的质疑。</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3.2质疑函范本可在财政部门户网站和中国政府采购网下载。</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（二）投诉</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1.供应商对采购人的答复不满意，或者采购人未在规定时间内作出答复的，可以在答复期满后15个工作日内按照相关法律法规向财政部门提起投诉。</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2.供应商应按照《政府采购质疑和投诉办法》（财政部令第94号）及相关法律法规要求递交投诉书和必要的证明材料。投诉书范本可在财政部门户网站和中国政府采购网下载。</w:t>
      </w:r>
    </w:p>
    <w:p>
      <w:pPr>
        <w:spacing w:line="500" w:lineRule="exact"/>
        <w:ind w:right="12"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before="0" w:after="0" w:line="500" w:lineRule="exact"/>
        <w:ind w:firstLine="480" w:firstLineChars="200"/>
        <w:rPr>
          <w:rFonts w:hint="eastAsia" w:ascii="微软雅黑" w:hAnsi="微软雅黑" w:eastAsia="微软雅黑" w:cs="微软雅黑"/>
          <w:color w:val="auto"/>
          <w:sz w:val="24"/>
          <w:szCs w:val="24"/>
          <w:highlight w:val="none"/>
        </w:rPr>
      </w:pPr>
      <w:bookmarkStart w:id="89" w:name="_Toc31869"/>
      <w:bookmarkStart w:id="90" w:name="_Toc12502"/>
      <w:bookmarkStart w:id="91" w:name="_Toc16978"/>
      <w:bookmarkStart w:id="92" w:name="_Toc1561"/>
      <w:bookmarkStart w:id="93" w:name="_Toc428437956"/>
      <w:bookmarkStart w:id="94" w:name="_Toc391"/>
      <w:bookmarkStart w:id="95" w:name="_Toc23803"/>
      <w:bookmarkStart w:id="96" w:name="_Toc28328"/>
      <w:bookmarkStart w:id="97" w:name="_Toc6164"/>
      <w:bookmarkStart w:id="98" w:name="_Toc102227322"/>
      <w:bookmarkStart w:id="99" w:name="_Toc342913396"/>
      <w:bookmarkStart w:id="100" w:name="_Toc54353635"/>
      <w:bookmarkStart w:id="101" w:name="_Toc11641055"/>
      <w:bookmarkStart w:id="102" w:name="_Toc12789059"/>
      <w:r>
        <w:rPr>
          <w:rFonts w:hint="eastAsia" w:ascii="微软雅黑" w:hAnsi="微软雅黑" w:eastAsia="微软雅黑" w:cs="微软雅黑"/>
          <w:b/>
          <w:color w:val="auto"/>
          <w:kern w:val="2"/>
          <w:sz w:val="24"/>
          <w:szCs w:val="24"/>
          <w:highlight w:val="none"/>
          <w:lang w:val="en-US" w:eastAsia="zh-CN" w:bidi="ar-SA"/>
        </w:rPr>
        <w:t>七、采购代理服务费</w:t>
      </w:r>
      <w:bookmarkEnd w:id="89"/>
      <w:bookmarkEnd w:id="90"/>
      <w:bookmarkEnd w:id="91"/>
      <w:bookmarkEnd w:id="92"/>
      <w:bookmarkEnd w:id="93"/>
      <w:bookmarkEnd w:id="94"/>
      <w:bookmarkEnd w:id="95"/>
      <w:bookmarkEnd w:id="96"/>
      <w:bookmarkEnd w:id="97"/>
    </w:p>
    <w:p>
      <w:pPr>
        <w:spacing w:line="500" w:lineRule="exact"/>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0"/>
          <w:highlight w:val="none"/>
        </w:rPr>
        <w:t>1.成交供应商在领取成交通知书的同时，采购代理机构按采购代理委托协议的约定向成交供应商收取采购代理服务费。成交供应商应到采购代理机构缴纳采购代理服务费。</w:t>
      </w:r>
      <w:r>
        <w:rPr>
          <w:rFonts w:hint="eastAsia" w:ascii="微软雅黑" w:hAnsi="微软雅黑" w:eastAsia="微软雅黑" w:cs="微软雅黑"/>
          <w:color w:val="auto"/>
          <w:sz w:val="24"/>
          <w:szCs w:val="20"/>
          <w:highlight w:val="none"/>
          <w:lang w:eastAsia="zh-CN"/>
        </w:rPr>
        <w:t>以中标金额为基数，按原《国家计委关于印发〈招标代理服务收费管理暂行办法〉的通知（计价格[2002]1980号）》、《国家发展改革委办公厅关</w:t>
      </w:r>
      <w:r>
        <w:rPr>
          <w:rFonts w:hint="eastAsia" w:ascii="微软雅黑" w:hAnsi="微软雅黑" w:eastAsia="微软雅黑" w:cs="微软雅黑"/>
          <w:sz w:val="24"/>
          <w:szCs w:val="24"/>
          <w:lang w:eastAsia="zh-CN"/>
        </w:rPr>
        <w:t>于招标代理服务收费有关问题的通知（发改办价格[2003]857号）》和《国家发展改革委关于降低部分建设项目收费标准规范收费行为等有关问题的通知（发改价格[2011]534号）》规定收费标准执行。计算出的金额不足</w:t>
      </w:r>
      <w:r>
        <w:rPr>
          <w:rFonts w:hint="eastAsia" w:ascii="微软雅黑" w:hAnsi="微软雅黑" w:eastAsia="微软雅黑" w:cs="微软雅黑"/>
          <w:sz w:val="24"/>
          <w:szCs w:val="24"/>
          <w:lang w:val="en-US" w:eastAsia="zh-CN"/>
        </w:rPr>
        <w:t>5000元时，按5000元收取。</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2.服务费以现金形式支付。</w:t>
      </w:r>
    </w:p>
    <w:p>
      <w:pPr>
        <w:spacing w:before="0" w:after="0"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3.成交供应商如未按上述规定缴付采购代理服务费，其保证金将不予退还。</w:t>
      </w:r>
    </w:p>
    <w:p>
      <w:pPr>
        <w:spacing w:before="0" w:after="0" w:line="500" w:lineRule="exact"/>
        <w:ind w:firstLine="480" w:firstLineChars="200"/>
        <w:rPr>
          <w:rFonts w:hint="eastAsia"/>
        </w:rPr>
      </w:pPr>
      <w:r>
        <w:rPr>
          <w:rFonts w:hint="eastAsia" w:ascii="微软雅黑" w:hAnsi="微软雅黑" w:eastAsia="微软雅黑" w:cs="微软雅黑"/>
          <w:sz w:val="24"/>
          <w:szCs w:val="24"/>
          <w:lang w:val="en-US" w:eastAsia="zh-CN"/>
        </w:rPr>
        <w:t>4.如因疫情等不可抗力因素导致成交供应商未与采购人签订合同，其服务费不予退还。</w:t>
      </w:r>
    </w:p>
    <w:p>
      <w:pPr>
        <w:pStyle w:val="5"/>
        <w:spacing w:before="0" w:after="0" w:line="500" w:lineRule="exact"/>
        <w:ind w:firstLine="480" w:firstLineChars="200"/>
        <w:rPr>
          <w:rFonts w:hint="eastAsia" w:ascii="微软雅黑" w:hAnsi="微软雅黑" w:eastAsia="微软雅黑" w:cs="微软雅黑"/>
          <w:sz w:val="24"/>
          <w:szCs w:val="24"/>
        </w:rPr>
      </w:pPr>
      <w:bookmarkStart w:id="103" w:name="_Toc11441"/>
      <w:r>
        <w:rPr>
          <w:rFonts w:hint="eastAsia" w:ascii="微软雅黑" w:hAnsi="微软雅黑" w:eastAsia="微软雅黑" w:cs="微软雅黑"/>
          <w:sz w:val="24"/>
          <w:szCs w:val="24"/>
          <w:lang w:eastAsia="zh-CN"/>
        </w:rPr>
        <w:t>八</w:t>
      </w:r>
      <w:r>
        <w:rPr>
          <w:rFonts w:hint="eastAsia" w:ascii="微软雅黑" w:hAnsi="微软雅黑" w:eastAsia="微软雅黑" w:cs="微软雅黑"/>
          <w:sz w:val="24"/>
          <w:szCs w:val="24"/>
        </w:rPr>
        <w:t>、签订</w:t>
      </w:r>
      <w:bookmarkEnd w:id="98"/>
      <w:r>
        <w:rPr>
          <w:rFonts w:hint="eastAsia" w:ascii="微软雅黑" w:hAnsi="微软雅黑" w:eastAsia="微软雅黑" w:cs="微软雅黑"/>
          <w:sz w:val="24"/>
          <w:szCs w:val="24"/>
        </w:rPr>
        <w:t>合同</w:t>
      </w:r>
      <w:bookmarkEnd w:id="99"/>
      <w:bookmarkEnd w:id="100"/>
      <w:bookmarkEnd w:id="103"/>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（一）采购人应当自成交通知书发出之日起三十日内，按照竞争性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文件和成交供应商响应文件的约定，与成交供应商签订书面合同。所签订的合同不得对竞争性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文件和供应商的响应文件作实质性修改。其他未尽事宜由采购人和成交供应商在采购合同中详细约定。</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文件、供应商的响应文件及澄清文件等，均为签订采购合同的依据。</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（三）合同生效条款由供需双方约定，法律、行政法规规定应当办理批准、登记等手续后生效的合同，依照其规定。</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（四）合同原则上应按照《重庆市政府采购合同》签订，相关单位要求适用合同通用格式版本的，应按其要求另行签订其他合同。</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（五）采购人要求成交供应商提供履约保证金的，应当在竞争性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文件中予以约定。成交供应商履约完毕后，采购人根据采购文件规定无息退还其履约保证金。</w:t>
      </w:r>
    </w:p>
    <w:p>
      <w:pPr>
        <w:pStyle w:val="4"/>
        <w:spacing w:line="500" w:lineRule="exact"/>
        <w:ind w:firstLine="0" w:firstLineChars="0"/>
        <w:jc w:val="center"/>
        <w:rPr>
          <w:rFonts w:hint="eastAsia" w:ascii="微软雅黑" w:hAnsi="微软雅黑" w:eastAsia="微软雅黑" w:cs="微软雅黑"/>
          <w:b w:val="0"/>
          <w:sz w:val="36"/>
          <w:szCs w:val="30"/>
        </w:rPr>
      </w:pPr>
      <w:r>
        <w:rPr>
          <w:rFonts w:hint="eastAsia" w:ascii="微软雅黑" w:hAnsi="微软雅黑" w:eastAsia="微软雅黑" w:cs="微软雅黑"/>
          <w:sz w:val="36"/>
          <w:szCs w:val="30"/>
        </w:rPr>
        <w:br w:type="page"/>
      </w:r>
      <w:bookmarkStart w:id="104" w:name="_Toc54353637"/>
      <w:bookmarkStart w:id="105" w:name="_Toc20058"/>
      <w:r>
        <w:rPr>
          <w:rFonts w:hint="eastAsia" w:ascii="微软雅黑" w:hAnsi="微软雅黑" w:eastAsia="微软雅黑" w:cs="微软雅黑"/>
          <w:b w:val="0"/>
          <w:sz w:val="36"/>
          <w:szCs w:val="30"/>
        </w:rPr>
        <w:t xml:space="preserve">第六篇  </w:t>
      </w:r>
      <w:bookmarkEnd w:id="101"/>
      <w:bookmarkEnd w:id="102"/>
      <w:r>
        <w:rPr>
          <w:rFonts w:hint="eastAsia" w:ascii="微软雅黑" w:hAnsi="微软雅黑" w:eastAsia="微软雅黑" w:cs="微软雅黑"/>
          <w:b w:val="0"/>
          <w:sz w:val="36"/>
          <w:szCs w:val="30"/>
        </w:rPr>
        <w:t>采购合同</w:t>
      </w:r>
      <w:bookmarkEnd w:id="104"/>
      <w:bookmarkEnd w:id="105"/>
    </w:p>
    <w:p>
      <w:pPr>
        <w:spacing w:line="500" w:lineRule="exact"/>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rPr>
        <w:t>（格式自定）</w:t>
      </w:r>
    </w:p>
    <w:p>
      <w:pPr>
        <w:spacing w:before="0" w:after="0" w:line="360" w:lineRule="auto"/>
        <w:jc w:val="center"/>
        <w:rPr>
          <w:rFonts w:hint="default" w:ascii="Arial" w:hAnsi="Arial" w:eastAsia="方正楷体_GBK"/>
          <w:b w:val="0"/>
          <w:sz w:val="32"/>
          <w:szCs w:val="22"/>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spacing w:line="500" w:lineRule="exact"/>
        <w:jc w:val="center"/>
        <w:rPr>
          <w:rFonts w:hint="eastAsia" w:ascii="微软雅黑" w:hAnsi="微软雅黑" w:eastAsia="微软雅黑" w:cs="微软雅黑"/>
          <w:b/>
          <w:sz w:val="44"/>
        </w:rPr>
      </w:pPr>
    </w:p>
    <w:p>
      <w:pPr>
        <w:pStyle w:val="4"/>
        <w:spacing w:before="0" w:after="0" w:line="360" w:lineRule="auto"/>
        <w:jc w:val="center"/>
        <w:rPr>
          <w:rFonts w:hint="eastAsia" w:ascii="微软雅黑" w:hAnsi="微软雅黑" w:eastAsia="微软雅黑" w:cs="微软雅黑"/>
          <w:b w:val="0"/>
          <w:sz w:val="36"/>
          <w:szCs w:val="30"/>
        </w:rPr>
      </w:pPr>
      <w:bookmarkStart w:id="106" w:name="_Hlt41879464"/>
      <w:bookmarkEnd w:id="106"/>
      <w:bookmarkStart w:id="107" w:name="_Toc18879"/>
      <w:bookmarkStart w:id="108" w:name="_Toc54353638"/>
      <w:r>
        <w:rPr>
          <w:rFonts w:hint="eastAsia" w:ascii="微软雅黑" w:hAnsi="微软雅黑" w:eastAsia="微软雅黑" w:cs="微软雅黑"/>
          <w:b w:val="0"/>
          <w:sz w:val="36"/>
          <w:szCs w:val="30"/>
        </w:rPr>
        <w:t>第七篇  响应文件编制要求</w:t>
      </w:r>
      <w:bookmarkEnd w:id="107"/>
      <w:bookmarkEnd w:id="108"/>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一、经济部分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报价函</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二、服务部分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（二）服务响应偏离表</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三、商务部分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（一）商务要求响应情况：服务期及地点、报价要求、质量保证及售后服务等。</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（二）商务响应偏离表</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（三）其它优惠服务承诺</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四、资格条件及其他</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（二）法定代表人身份证明书（格式）</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（三）法定代表人授权委托书（格式）</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（四）基本资格条件承诺函（格式）</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五</w:t>
      </w:r>
      <w:r>
        <w:rPr>
          <w:rFonts w:hint="eastAsia" w:ascii="微软雅黑" w:hAnsi="微软雅黑" w:eastAsia="微软雅黑" w:cs="微软雅黑"/>
          <w:sz w:val="24"/>
          <w:szCs w:val="24"/>
        </w:rPr>
        <w:t>）特定资格条件证书或证明文件</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五、其他资料</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w:t>
      </w:r>
    </w:p>
    <w:p>
      <w:pPr>
        <w:snapToGrid w:val="0"/>
        <w:spacing w:line="360" w:lineRule="auto"/>
        <w:rPr>
          <w:rFonts w:hint="eastAsia" w:ascii="微软雅黑" w:hAnsi="微软雅黑" w:eastAsia="微软雅黑" w:cs="微软雅黑"/>
          <w:sz w:val="24"/>
          <w:szCs w:val="24"/>
          <w:bdr w:val="single" w:color="auto" w:sz="4" w:space="0"/>
        </w:rPr>
        <w:sectPr>
          <w:footerReference r:id="rId5" w:type="default"/>
          <w:pgSz w:w="11907" w:h="16840"/>
          <w:pgMar w:top="1134" w:right="1191" w:bottom="1134" w:left="1304" w:header="851" w:footer="992" w:gutter="0"/>
          <w:pgNumType w:fmt="decimal"/>
          <w:cols w:space="720" w:num="1"/>
          <w:docGrid w:linePitch="380" w:charSpace="-5735"/>
        </w:sectPr>
      </w:pPr>
    </w:p>
    <w:p>
      <w:pPr>
        <w:pStyle w:val="5"/>
        <w:spacing w:before="0" w:after="0" w:line="500" w:lineRule="exact"/>
        <w:rPr>
          <w:rFonts w:hint="eastAsia" w:ascii="微软雅黑" w:hAnsi="微软雅黑" w:eastAsia="微软雅黑" w:cs="微软雅黑"/>
          <w:sz w:val="24"/>
          <w:szCs w:val="24"/>
        </w:rPr>
      </w:pPr>
      <w:bookmarkStart w:id="109" w:name="_Toc342913419"/>
      <w:bookmarkStart w:id="110" w:name="_Toc283382454"/>
      <w:bookmarkStart w:id="111" w:name="_Toc313888360"/>
      <w:bookmarkStart w:id="112" w:name="_Toc54353639"/>
      <w:bookmarkStart w:id="113" w:name="_Toc5221"/>
      <w:bookmarkStart w:id="114" w:name="_Toc313008356"/>
      <w:bookmarkStart w:id="115" w:name="_Toc12789073"/>
      <w:r>
        <w:rPr>
          <w:rFonts w:hint="eastAsia" w:ascii="微软雅黑" w:hAnsi="微软雅黑" w:eastAsia="微软雅黑" w:cs="微软雅黑"/>
          <w:sz w:val="24"/>
          <w:szCs w:val="24"/>
        </w:rPr>
        <w:t>一、经济部分</w:t>
      </w:r>
      <w:bookmarkEnd w:id="109"/>
      <w:bookmarkEnd w:id="110"/>
      <w:bookmarkEnd w:id="111"/>
      <w:bookmarkEnd w:id="112"/>
      <w:bookmarkEnd w:id="113"/>
      <w:bookmarkEnd w:id="114"/>
      <w:bookmarkEnd w:id="115"/>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报价函</w:t>
      </w:r>
    </w:p>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报价函</w:t>
      </w:r>
    </w:p>
    <w:p>
      <w:pPr>
        <w:tabs>
          <w:tab w:val="left" w:pos="6300"/>
        </w:tabs>
        <w:snapToGrid w:val="0"/>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（采购人名称）</w:t>
      </w:r>
      <w:r>
        <w:rPr>
          <w:rFonts w:hint="eastAsia" w:ascii="微软雅黑" w:hAnsi="微软雅黑" w:eastAsia="微软雅黑" w:cs="微软雅黑"/>
          <w:sz w:val="24"/>
          <w:szCs w:val="24"/>
        </w:rPr>
        <w:t>：</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我方收到____________________________（</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项目名称）的竞争性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文件，经详细研究，决定参加该项目的</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1.愿意按照竞争性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文件中的一切要求，提供本项目的服务，报价为人民币大写：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元整；人民币小写：</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元。</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2.我方现提交的响应文件为：响应文件正本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份，副本</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份，电子文档</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份。</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3.我方承诺：本次</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的有效期为提交响应文件截止时间起90天。</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4.我方完全理解和接受贵方竞争性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文件的一切规定和要求及评审办法。</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5.在整个竞争性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过程中，我方若有违规行为，接受按照《中华人民共和国政府采购法》和《竞争性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文件》之规定给予惩罚。</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6.我方若成为成交供应商，将按照最终</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结果签订合同，并且严格履行合同义务。本承诺函将成为合同不可分割的一部分，与合同具有同等的法律效力。</w:t>
      </w:r>
    </w:p>
    <w:p>
      <w:pPr>
        <w:tabs>
          <w:tab w:val="left" w:pos="6300"/>
        </w:tabs>
        <w:snapToGrid w:val="0"/>
        <w:spacing w:line="500" w:lineRule="exact"/>
        <w:ind w:firstLine="480" w:firstLineChars="200"/>
        <w:rPr>
          <w:rFonts w:hint="eastAsia"/>
        </w:rPr>
      </w:pPr>
      <w:r>
        <w:rPr>
          <w:rFonts w:hint="eastAsia" w:ascii="微软雅黑" w:hAnsi="微软雅黑" w:eastAsia="微软雅黑" w:cs="微软雅黑"/>
          <w:sz w:val="24"/>
          <w:szCs w:val="24"/>
        </w:rPr>
        <w:t>7、如果我方成为成交供应商，保证在接到成交通知书后，向采购代理机构按竞争性比选文件规定缴纳采购代理服务费。</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.我方未为采购项目提供整体设计、规范编制或者项目管理、监理、检测等服务。</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地址：  </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传真：</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网址：                                             邮编：</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p>
      <w:pPr>
        <w:snapToGrid w:val="0"/>
        <w:spacing w:line="500" w:lineRule="exact"/>
        <w:ind w:firstLine="480" w:firstLineChars="200"/>
        <w:rPr>
          <w:rFonts w:hint="eastAsia" w:ascii="微软雅黑" w:hAnsi="微软雅黑" w:eastAsia="微软雅黑" w:cs="微软雅黑"/>
          <w:sz w:val="24"/>
          <w:szCs w:val="24"/>
        </w:rPr>
        <w:sectPr>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s="微软雅黑"/>
          <w:sz w:val="24"/>
          <w:szCs w:val="24"/>
        </w:rPr>
        <w:t xml:space="preserve">                                                  年   月   日</w:t>
      </w:r>
    </w:p>
    <w:p>
      <w:pPr>
        <w:tabs>
          <w:tab w:val="left" w:pos="2895"/>
        </w:tabs>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（二）明细报价表</w:t>
      </w:r>
    </w:p>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明细报价表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项目编号：</w:t>
      </w:r>
    </w:p>
    <w:p>
      <w:pPr>
        <w:spacing w:line="500" w:lineRule="exact"/>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 xml:space="preserve">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57"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3127"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相关信息</w:t>
            </w:r>
          </w:p>
        </w:tc>
        <w:tc>
          <w:tcPr>
            <w:tcW w:w="1235"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35"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单价</w:t>
            </w:r>
          </w:p>
        </w:tc>
        <w:tc>
          <w:tcPr>
            <w:tcW w:w="1235" w:type="dxa"/>
            <w:noWrap w:val="0"/>
            <w:vAlign w:val="center"/>
          </w:tcPr>
          <w:p>
            <w:pPr>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7</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8</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9</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10</w:t>
            </w:r>
          </w:p>
        </w:tc>
        <w:tc>
          <w:tcPr>
            <w:tcW w:w="1557" w:type="dxa"/>
            <w:noWrap w:val="0"/>
            <w:vAlign w:val="center"/>
          </w:tcPr>
          <w:p>
            <w:pPr>
              <w:spacing w:line="500" w:lineRule="exact"/>
              <w:jc w:val="center"/>
              <w:rPr>
                <w:rFonts w:hint="eastAsia" w:ascii="微软雅黑" w:hAnsi="微软雅黑" w:eastAsia="微软雅黑" w:cs="微软雅黑"/>
                <w:sz w:val="24"/>
                <w:szCs w:val="24"/>
              </w:rPr>
            </w:pP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p>
        </w:tc>
        <w:tc>
          <w:tcPr>
            <w:tcW w:w="1557"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3127"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tc>
        <w:tc>
          <w:tcPr>
            <w:tcW w:w="1235" w:type="dxa"/>
            <w:noWrap w:val="0"/>
            <w:vAlign w:val="top"/>
          </w:tcPr>
          <w:p>
            <w:pPr>
              <w:spacing w:line="500" w:lineRule="exact"/>
              <w:jc w:val="center"/>
              <w:rPr>
                <w:rFonts w:hint="eastAsia" w:ascii="微软雅黑" w:hAnsi="微软雅黑" w:eastAsia="微软雅黑" w:cs="微软雅黑"/>
                <w:sz w:val="24"/>
                <w:szCs w:val="24"/>
              </w:rPr>
            </w:pPr>
          </w:p>
        </w:tc>
        <w:tc>
          <w:tcPr>
            <w:tcW w:w="1235" w:type="dxa"/>
            <w:noWrap w:val="0"/>
            <w:vAlign w:val="top"/>
          </w:tcPr>
          <w:p>
            <w:pPr>
              <w:spacing w:line="50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7"/>
              <w:spacing w:line="500" w:lineRule="exact"/>
              <w:ind w:left="3920"/>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12</w:t>
            </w:r>
          </w:p>
        </w:tc>
        <w:tc>
          <w:tcPr>
            <w:tcW w:w="1557" w:type="dxa"/>
            <w:noWrap w:val="0"/>
            <w:vAlign w:val="center"/>
          </w:tcPr>
          <w:p>
            <w:pPr>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总计</w:t>
            </w:r>
          </w:p>
        </w:tc>
        <w:tc>
          <w:tcPr>
            <w:tcW w:w="6832" w:type="dxa"/>
            <w:gridSpan w:val="4"/>
            <w:noWrap w:val="0"/>
            <w:vAlign w:val="top"/>
          </w:tcPr>
          <w:p>
            <w:pPr>
              <w:spacing w:line="500" w:lineRule="exact"/>
              <w:rPr>
                <w:rFonts w:hint="eastAsia" w:ascii="微软雅黑" w:hAnsi="微软雅黑" w:eastAsia="微软雅黑" w:cs="微软雅黑"/>
                <w:sz w:val="24"/>
                <w:szCs w:val="24"/>
              </w:rPr>
            </w:pPr>
          </w:p>
        </w:tc>
      </w:tr>
    </w:tbl>
    <w:p>
      <w:pPr>
        <w:snapToGrid w:val="0"/>
        <w:spacing w:line="500" w:lineRule="exact"/>
        <w:ind w:firstLine="480" w:firstLineChars="200"/>
        <w:rPr>
          <w:rFonts w:hint="eastAsia" w:ascii="微软雅黑" w:hAnsi="微软雅黑" w:eastAsia="微软雅黑" w:cs="微软雅黑"/>
          <w:sz w:val="24"/>
          <w:szCs w:val="24"/>
        </w:rPr>
      </w:pPr>
    </w:p>
    <w:p>
      <w:pPr>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注：1.供应商应完整填写本表。</w:t>
      </w:r>
    </w:p>
    <w:p>
      <w:pPr>
        <w:snapToGrid w:val="0"/>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2.该表可按供应商实际规划修改扩展</w:t>
      </w:r>
      <w:bookmarkStart w:id="116" w:name="OLE_LINK2"/>
      <w:bookmarkStart w:id="117" w:name="OLE_LINK1"/>
      <w:r>
        <w:rPr>
          <w:rFonts w:hint="eastAsia" w:ascii="微软雅黑" w:hAnsi="微软雅黑" w:eastAsia="微软雅黑" w:cs="微软雅黑"/>
          <w:sz w:val="24"/>
          <w:szCs w:val="24"/>
        </w:rPr>
        <w:t>，并逐页签字或盖章。</w:t>
      </w:r>
      <w:bookmarkEnd w:id="116"/>
      <w:bookmarkEnd w:id="117"/>
    </w:p>
    <w:p>
      <w:pPr>
        <w:pStyle w:val="2"/>
        <w:spacing w:line="500" w:lineRule="exact"/>
        <w:rPr>
          <w:rFonts w:hint="eastAsia" w:ascii="微软雅黑" w:hAnsi="微软雅黑" w:eastAsia="微软雅黑" w:cs="微软雅黑"/>
          <w:sz w:val="24"/>
          <w:szCs w:val="24"/>
        </w:rPr>
      </w:pPr>
    </w:p>
    <w:p>
      <w:pPr>
        <w:pStyle w:val="2"/>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rPr>
          <w:rFonts w:hint="eastAsia" w:ascii="微软雅黑" w:hAnsi="微软雅黑" w:eastAsia="微软雅黑" w:cs="微软雅黑"/>
          <w:sz w:val="24"/>
          <w:szCs w:val="24"/>
        </w:rPr>
      </w:pPr>
    </w:p>
    <w:p>
      <w:pPr>
        <w:spacing w:line="500" w:lineRule="exact"/>
        <w:rPr>
          <w:rFonts w:hint="eastAsia" w:ascii="微软雅黑" w:hAnsi="微软雅黑" w:eastAsia="微软雅黑" w:cs="微软雅黑"/>
          <w:sz w:val="24"/>
          <w:szCs w:val="24"/>
        </w:rPr>
      </w:pP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供应商名称（公章）：</w:t>
      </w:r>
    </w:p>
    <w:p>
      <w:pPr>
        <w:spacing w:line="500" w:lineRule="exact"/>
        <w:ind w:right="480" w:firstLine="6480" w:firstLineChars="2700"/>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snapToGrid w:val="0"/>
        <w:spacing w:line="500" w:lineRule="exact"/>
        <w:ind w:firstLine="480" w:firstLineChars="200"/>
        <w:rPr>
          <w:rFonts w:hint="eastAsia" w:ascii="微软雅黑" w:hAnsi="微软雅黑" w:eastAsia="微软雅黑" w:cs="微软雅黑"/>
          <w:sz w:val="24"/>
          <w:szCs w:val="24"/>
          <w:bdr w:val="single" w:color="auto" w:sz="4" w:space="0"/>
        </w:rPr>
        <w:sectPr>
          <w:headerReference r:id="rId6" w:type="default"/>
          <w:pgSz w:w="11907" w:h="16840"/>
          <w:pgMar w:top="1134" w:right="1191" w:bottom="1134" w:left="1304" w:header="851" w:footer="992" w:gutter="0"/>
          <w:pgNumType w:fmt="decimal"/>
          <w:cols w:space="720" w:num="1"/>
          <w:docGrid w:linePitch="380" w:charSpace="-5735"/>
        </w:sectPr>
      </w:pPr>
    </w:p>
    <w:p>
      <w:pPr>
        <w:pStyle w:val="5"/>
        <w:spacing w:before="0" w:after="0" w:line="500" w:lineRule="exact"/>
        <w:rPr>
          <w:rFonts w:hint="eastAsia" w:ascii="微软雅黑" w:hAnsi="微软雅黑" w:eastAsia="微软雅黑" w:cs="微软雅黑"/>
          <w:sz w:val="24"/>
          <w:szCs w:val="24"/>
        </w:rPr>
      </w:pPr>
      <w:bookmarkStart w:id="118" w:name="_Toc313008357"/>
      <w:bookmarkStart w:id="119" w:name="_Toc54353640"/>
      <w:bookmarkStart w:id="120" w:name="_Toc9256"/>
      <w:bookmarkStart w:id="121" w:name="_Toc313888361"/>
      <w:bookmarkStart w:id="122" w:name="_Toc342913420"/>
      <w:r>
        <w:rPr>
          <w:rFonts w:hint="eastAsia" w:ascii="微软雅黑" w:hAnsi="微软雅黑" w:eastAsia="微软雅黑" w:cs="微软雅黑"/>
          <w:sz w:val="24"/>
          <w:szCs w:val="24"/>
        </w:rPr>
        <w:t>二、服务部分</w:t>
      </w:r>
      <w:bookmarkEnd w:id="118"/>
      <w:bookmarkEnd w:id="119"/>
      <w:bookmarkEnd w:id="120"/>
      <w:bookmarkEnd w:id="121"/>
      <w:bookmarkEnd w:id="122"/>
    </w:p>
    <w:p>
      <w:pPr>
        <w:snapToGrid w:val="0"/>
        <w:spacing w:line="50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（一）服务方案（格式自定）</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（二）服务响应偏离表</w:t>
      </w:r>
    </w:p>
    <w:p>
      <w:pPr>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竞争性比选要</w:t>
            </w:r>
            <w:r>
              <w:rPr>
                <w:rFonts w:hint="eastAsia" w:ascii="微软雅黑" w:hAnsi="微软雅黑" w:eastAsia="微软雅黑" w:cs="微软雅黑"/>
                <w:sz w:val="24"/>
                <w:szCs w:val="24"/>
              </w:rPr>
              <w:t>求</w:t>
            </w: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竞标应答</w:t>
            </w: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658"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759"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c>
          <w:tcPr>
            <w:tcW w:w="2067" w:type="dxa"/>
            <w:noWrap w:val="0"/>
            <w:vAlign w:val="center"/>
          </w:tcPr>
          <w:p>
            <w:pPr>
              <w:tabs>
                <w:tab w:val="left" w:pos="6300"/>
              </w:tabs>
              <w:snapToGrid w:val="0"/>
              <w:spacing w:line="500" w:lineRule="exact"/>
              <w:jc w:val="center"/>
              <w:outlineLvl w:val="0"/>
              <w:rPr>
                <w:rFonts w:hint="eastAsia" w:ascii="微软雅黑" w:hAnsi="微软雅黑" w:eastAsia="微软雅黑" w:cs="微软雅黑"/>
                <w:sz w:val="24"/>
                <w:szCs w:val="24"/>
              </w:rPr>
            </w:pPr>
          </w:p>
        </w:tc>
      </w:tr>
    </w:tbl>
    <w:p>
      <w:pPr>
        <w:spacing w:line="500" w:lineRule="exact"/>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720" w:firstLine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1.本表即为对本项目“第二篇  项目服务需求”中所列服务要求进行比较和响应；</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2.该表必须按照竞争性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4.可附相关支撑材料。（格式自定）</w:t>
      </w:r>
    </w:p>
    <w:p>
      <w:pPr>
        <w:pStyle w:val="5"/>
        <w:spacing w:before="0" w:after="0" w:line="500" w:lineRule="exact"/>
        <w:rPr>
          <w:rFonts w:hint="eastAsia" w:ascii="微软雅黑" w:hAnsi="微软雅黑" w:eastAsia="微软雅黑" w:cs="微软雅黑"/>
          <w:sz w:val="24"/>
          <w:szCs w:val="24"/>
        </w:rPr>
      </w:pPr>
      <w:r>
        <w:rPr>
          <w:rFonts w:hint="eastAsia" w:ascii="微软雅黑" w:hAnsi="微软雅黑" w:eastAsia="微软雅黑" w:cs="微软雅黑"/>
          <w:b w:val="0"/>
          <w:sz w:val="24"/>
          <w:szCs w:val="24"/>
        </w:rPr>
        <w:br w:type="page"/>
      </w:r>
      <w:bookmarkStart w:id="123" w:name="_Toc313888362"/>
      <w:bookmarkStart w:id="124" w:name="_Toc54353641"/>
      <w:bookmarkStart w:id="125" w:name="_Toc313008358"/>
      <w:bookmarkStart w:id="126" w:name="_Toc342913421"/>
      <w:bookmarkStart w:id="127" w:name="_Toc29488"/>
      <w:r>
        <w:rPr>
          <w:rFonts w:hint="eastAsia" w:ascii="微软雅黑" w:hAnsi="微软雅黑" w:eastAsia="微软雅黑" w:cs="微软雅黑"/>
          <w:sz w:val="24"/>
          <w:szCs w:val="24"/>
        </w:rPr>
        <w:t>三、商务部分</w:t>
      </w:r>
      <w:bookmarkEnd w:id="123"/>
      <w:bookmarkEnd w:id="124"/>
      <w:bookmarkEnd w:id="125"/>
      <w:bookmarkEnd w:id="126"/>
      <w:bookmarkEnd w:id="127"/>
    </w:p>
    <w:p>
      <w:pPr>
        <w:snapToGrid w:val="0"/>
        <w:spacing w:line="500" w:lineRule="exact"/>
        <w:ind w:firstLine="480" w:firstLineChars="200"/>
        <w:rPr>
          <w:rFonts w:hint="eastAsia" w:ascii="微软雅黑" w:hAnsi="微软雅黑" w:eastAsia="微软雅黑" w:cs="微软雅黑"/>
          <w:b/>
          <w:sz w:val="24"/>
          <w:szCs w:val="24"/>
        </w:rPr>
        <w:sectPr>
          <w:pgSz w:w="11907" w:h="16840"/>
          <w:pgMar w:top="1134" w:right="1191" w:bottom="1134" w:left="1304" w:header="851" w:footer="992" w:gutter="0"/>
          <w:pgNumType w:fmt="decimal"/>
          <w:cols w:space="720" w:num="1"/>
          <w:docGrid w:linePitch="380" w:charSpace="-5735"/>
        </w:sectPr>
      </w:pPr>
      <w:r>
        <w:rPr>
          <w:rFonts w:hint="eastAsia" w:ascii="微软雅黑" w:hAnsi="微软雅黑" w:eastAsia="微软雅黑" w:cs="微软雅黑"/>
          <w:sz w:val="24"/>
          <w:szCs w:val="24"/>
        </w:rPr>
        <w:t>（一）商务要求响应情况：服务期及地点、报价要求、质量保证及售后服务等（格式自定）</w:t>
      </w:r>
    </w:p>
    <w:p>
      <w:pPr>
        <w:spacing w:line="500" w:lineRule="exact"/>
        <w:ind w:firstLine="480" w:firstLineChars="200"/>
        <w:rPr>
          <w:rFonts w:hint="eastAsia" w:ascii="微软雅黑" w:hAnsi="微软雅黑" w:eastAsia="微软雅黑" w:cs="微软雅黑"/>
          <w:sz w:val="24"/>
          <w:szCs w:val="24"/>
        </w:rPr>
      </w:pPr>
      <w:bookmarkStart w:id="128" w:name="_Toc283382459"/>
      <w:r>
        <w:rPr>
          <w:rFonts w:hint="eastAsia" w:ascii="微软雅黑" w:hAnsi="微软雅黑" w:eastAsia="微软雅黑" w:cs="微软雅黑"/>
          <w:sz w:val="24"/>
          <w:szCs w:val="24"/>
        </w:rPr>
        <w:t>（二）商务响应偏离表</w:t>
      </w:r>
    </w:p>
    <w:p>
      <w:pPr>
        <w:snapToGrid w:val="0"/>
        <w:spacing w:line="360" w:lineRule="auto"/>
        <w:jc w:val="center"/>
        <w:rPr>
          <w:rFonts w:hint="eastAsia" w:ascii="微软雅黑" w:hAnsi="微软雅黑" w:eastAsia="微软雅黑" w:cs="微软雅黑"/>
          <w:b/>
          <w:szCs w:val="28"/>
        </w:rPr>
      </w:pPr>
      <w:r>
        <w:rPr>
          <w:rFonts w:hint="eastAsia" w:ascii="微软雅黑" w:hAnsi="微软雅黑" w:eastAsia="微软雅黑" w:cs="微软雅黑"/>
          <w:b/>
          <w:szCs w:val="28"/>
        </w:rPr>
        <w:t>商务响应偏离表</w:t>
      </w:r>
    </w:p>
    <w:p>
      <w:pPr>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项目号：                                </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项目编号：</w:t>
      </w:r>
    </w:p>
    <w:p>
      <w:pPr>
        <w:snapToGrid w:val="0"/>
        <w:spacing w:line="4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竞争性比选</w:t>
            </w:r>
            <w:r>
              <w:rPr>
                <w:rFonts w:hint="eastAsia" w:ascii="微软雅黑" w:hAnsi="微软雅黑" w:eastAsia="微软雅黑" w:cs="微软雅黑"/>
                <w:sz w:val="24"/>
                <w:szCs w:val="24"/>
              </w:rPr>
              <w:t>商务需求</w:t>
            </w: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竞标商务应答</w:t>
            </w: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3179"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434"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c>
          <w:tcPr>
            <w:tcW w:w="2355" w:type="dxa"/>
            <w:noWrap w:val="0"/>
            <w:vAlign w:val="center"/>
          </w:tcPr>
          <w:p>
            <w:pPr>
              <w:tabs>
                <w:tab w:val="left" w:pos="6300"/>
              </w:tabs>
              <w:snapToGrid w:val="0"/>
              <w:spacing w:line="360" w:lineRule="auto"/>
              <w:jc w:val="center"/>
              <w:outlineLvl w:val="0"/>
              <w:rPr>
                <w:rFonts w:hint="eastAsia" w:ascii="微软雅黑" w:hAnsi="微软雅黑" w:eastAsia="微软雅黑" w:cs="微软雅黑"/>
                <w:sz w:val="24"/>
                <w:szCs w:val="24"/>
              </w:rPr>
            </w:pPr>
          </w:p>
        </w:tc>
      </w:tr>
    </w:tbl>
    <w:p>
      <w:pPr>
        <w:snapToGrid w:val="0"/>
        <w:spacing w:line="360" w:lineRule="auto"/>
        <w:ind w:firstLine="465"/>
        <w:rPr>
          <w:rFonts w:hint="eastAsia" w:ascii="微软雅黑" w:hAnsi="微软雅黑" w:eastAsia="微软雅黑" w:cs="微软雅黑"/>
          <w:sz w:val="24"/>
          <w:szCs w:val="24"/>
        </w:rPr>
      </w:pPr>
    </w:p>
    <w:p>
      <w:pPr>
        <w:spacing w:line="500" w:lineRule="exact"/>
        <w:ind w:firstLine="600" w:firstLineChars="25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                                      法定代表人授权代表：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500" w:lineRule="exact"/>
        <w:ind w:firstLine="360" w:firstLineChars="150"/>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                                 （签字或盖章）</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1.本表即为对本项目“第三篇 项目商务需求”中所列服务要求进行比较和响应；</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2.该表必须按照竞争性</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3.该表可扩展，并逐页签字或盖章。</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（三）其它优惠承诺（格式自定）</w:t>
      </w:r>
    </w:p>
    <w:p>
      <w:pPr>
        <w:pStyle w:val="5"/>
        <w:spacing w:before="0" w:after="0"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bookmarkEnd w:id="128"/>
      <w:bookmarkStart w:id="129" w:name="_Toc54353642"/>
      <w:bookmarkStart w:id="130" w:name="_Toc25296"/>
      <w:bookmarkStart w:id="131" w:name="_Toc313008359"/>
      <w:bookmarkStart w:id="132" w:name="_Toc313888363"/>
      <w:bookmarkStart w:id="133" w:name="_Toc342913422"/>
      <w:r>
        <w:rPr>
          <w:rFonts w:hint="eastAsia" w:ascii="微软雅黑" w:hAnsi="微软雅黑" w:eastAsia="微软雅黑" w:cs="微软雅黑"/>
          <w:sz w:val="24"/>
          <w:szCs w:val="24"/>
        </w:rPr>
        <w:t>四、资格条件及其他</w:t>
      </w:r>
      <w:bookmarkEnd w:id="129"/>
      <w:bookmarkEnd w:id="130"/>
      <w:bookmarkEnd w:id="131"/>
      <w:bookmarkEnd w:id="132"/>
      <w:bookmarkEnd w:id="133"/>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widowControl/>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（二）法定代表人身份证明书（格式）</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（法定代表人姓名）在</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（供应商名称）任</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（职务名称）职务，是（供应商名称）</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的法定代表人。</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特此证明。</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（供应商公章）</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年   月   日</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法定代表人电话：XXXXXXX      电子邮箱：XXXXXX@XXXXX（若授权他人办理并签署响应文件的可不填写）</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（附：法定代表人身份证正反面复印件）</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（三）法定代表人授权委托书（格式）</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u w:val="single"/>
        </w:rPr>
        <w:t xml:space="preserve">                                                </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（采购人名称）：</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（供应商法定代表人名称）是</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（供应商名称）的法定代表人，特授权</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（被授权人姓名及身份证代码）代表我单位全权办理上述项目的</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、签约等具体工作，并签署全部有关文件、协议及合同。</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我单位对被授权人的签字负全部责任。</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                                 供应商法定代表人：</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（签字或盖章）                                （签字或盖章）</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（附：被授权人身份证正反面复印件）</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ind w:right="480"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（供应商公章）</w:t>
      </w:r>
    </w:p>
    <w:p>
      <w:pPr>
        <w:tabs>
          <w:tab w:val="left" w:pos="6300"/>
        </w:tabs>
        <w:snapToGrid w:val="0"/>
        <w:spacing w:line="500" w:lineRule="exact"/>
        <w:ind w:right="480"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tabs>
          <w:tab w:val="left" w:pos="6300"/>
        </w:tabs>
        <w:snapToGrid w:val="0"/>
        <w:spacing w:line="500" w:lineRule="exact"/>
        <w:ind w:right="48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被授权人电话：XXXXXXX     电子邮箱：XXXXXX@XXXXX（若法定代表人办理并签署响应文件的可不填写）</w:t>
      </w:r>
    </w:p>
    <w:p>
      <w:pPr>
        <w:tabs>
          <w:tab w:val="left" w:pos="6300"/>
        </w:tabs>
        <w:snapToGrid w:val="0"/>
        <w:spacing w:line="500" w:lineRule="exact"/>
        <w:ind w:right="48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w:t>
      </w:r>
    </w:p>
    <w:p>
      <w:pPr>
        <w:tabs>
          <w:tab w:val="left" w:pos="6300"/>
        </w:tabs>
        <w:snapToGrid w:val="0"/>
        <w:spacing w:line="500" w:lineRule="exact"/>
        <w:ind w:right="48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若为法定代表人办理并签署响应文件的，不提供此文件。</w:t>
      </w:r>
    </w:p>
    <w:p>
      <w:pPr>
        <w:tabs>
          <w:tab w:val="left" w:pos="6300"/>
        </w:tabs>
        <w:snapToGrid w:val="0"/>
        <w:spacing w:line="500" w:lineRule="exact"/>
        <w:ind w:firstLine="57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column"/>
      </w:r>
      <w:r>
        <w:rPr>
          <w:rFonts w:hint="eastAsia" w:ascii="微软雅黑" w:hAnsi="微软雅黑" w:eastAsia="微软雅黑" w:cs="微软雅黑"/>
          <w:sz w:val="24"/>
          <w:szCs w:val="24"/>
        </w:rPr>
        <w:t>（四）基本资格条件承诺函（格式）</w:t>
      </w:r>
    </w:p>
    <w:p>
      <w:pPr>
        <w:tabs>
          <w:tab w:val="left" w:pos="6300"/>
        </w:tabs>
        <w:snapToGrid w:val="0"/>
        <w:spacing w:line="5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基本资格条件承诺函</w:t>
      </w:r>
    </w:p>
    <w:p>
      <w:pPr>
        <w:tabs>
          <w:tab w:val="left" w:pos="6300"/>
        </w:tabs>
        <w:snapToGrid w:val="0"/>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（采购代理机构名称）：</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（投标人名称）郑重承诺：</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我方对以上承诺负全部法律责任。</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特此承诺。</w:t>
      </w:r>
    </w:p>
    <w:p>
      <w:pPr>
        <w:tabs>
          <w:tab w:val="left" w:pos="6300"/>
        </w:tabs>
        <w:snapToGrid w:val="0"/>
        <w:spacing w:line="500" w:lineRule="exact"/>
        <w:ind w:firstLine="480" w:firstLineChars="200"/>
        <w:rPr>
          <w:rFonts w:hint="eastAsia" w:ascii="微软雅黑" w:hAnsi="微软雅黑" w:eastAsia="微软雅黑" w:cs="微软雅黑"/>
          <w:sz w:val="24"/>
          <w:szCs w:val="24"/>
        </w:rPr>
      </w:pPr>
    </w:p>
    <w:p>
      <w:pPr>
        <w:tabs>
          <w:tab w:val="left" w:pos="6300"/>
        </w:tabs>
        <w:snapToGrid w:val="0"/>
        <w:spacing w:line="500" w:lineRule="exact"/>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（投标人公章）</w:t>
      </w:r>
    </w:p>
    <w:p>
      <w:pPr>
        <w:tabs>
          <w:tab w:val="left" w:pos="6300"/>
        </w:tabs>
        <w:wordWrap w:val="0"/>
        <w:snapToGrid w:val="0"/>
        <w:spacing w:line="500" w:lineRule="exact"/>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p>
      <w:pPr>
        <w:pStyle w:val="21"/>
        <w:ind w:left="630"/>
        <w:jc w:val="right"/>
        <w:rPr>
          <w:rFonts w:hint="eastAsia" w:ascii="微软雅黑" w:hAnsi="微软雅黑" w:eastAsia="微软雅黑" w:cs="微软雅黑"/>
          <w:kern w:val="0"/>
        </w:rPr>
      </w:pP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五</w:t>
      </w:r>
      <w:r>
        <w:rPr>
          <w:rFonts w:hint="eastAsia" w:ascii="微软雅黑" w:hAnsi="微软雅黑" w:eastAsia="微软雅黑" w:cs="微软雅黑"/>
          <w:sz w:val="24"/>
          <w:szCs w:val="24"/>
        </w:rPr>
        <w:t>）特定资格条件证书或证明文件</w:t>
      </w:r>
    </w:p>
    <w:p>
      <w:pPr>
        <w:tabs>
          <w:tab w:val="left" w:pos="6300"/>
        </w:tabs>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说明：供应商按“多证合一”登记制度办理营业执照的，税务登记证（副本）和社会保险登记证以供应商所提供的营业执照（副本）复印件为准。</w:t>
      </w:r>
    </w:p>
    <w:p>
      <w:pPr>
        <w:pStyle w:val="5"/>
        <w:snapToGrid w:val="0"/>
        <w:spacing w:line="5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b/>
          <w:sz w:val="24"/>
          <w:szCs w:val="24"/>
        </w:rPr>
        <w:br w:type="page"/>
      </w:r>
      <w:bookmarkStart w:id="134" w:name="_Toc14004"/>
      <w:r>
        <w:rPr>
          <w:rFonts w:hint="eastAsia" w:ascii="微软雅黑" w:hAnsi="微软雅黑" w:eastAsia="微软雅黑" w:cs="微软雅黑"/>
          <w:b/>
          <w:sz w:val="24"/>
          <w:szCs w:val="24"/>
          <w:highlight w:val="none"/>
          <w:lang w:eastAsia="zh-CN"/>
        </w:rPr>
        <w:t>五、</w:t>
      </w:r>
      <w:r>
        <w:rPr>
          <w:rFonts w:hint="eastAsia" w:ascii="微软雅黑" w:hAnsi="微软雅黑" w:eastAsia="微软雅黑" w:cs="微软雅黑"/>
          <w:b/>
          <w:sz w:val="24"/>
          <w:szCs w:val="24"/>
          <w:highlight w:val="none"/>
        </w:rPr>
        <w:t>其他与项目有关的资料</w:t>
      </w:r>
      <w:bookmarkEnd w:id="134"/>
    </w:p>
    <w:p>
      <w:pPr>
        <w:spacing w:line="500" w:lineRule="exact"/>
        <w:ind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其他与项目有关的资料（自附）：供应商总体情况介绍、其他与本项目有关的资料等。</w:t>
      </w:r>
    </w:p>
    <w:p>
      <w:pPr>
        <w:spacing w:line="360" w:lineRule="auto"/>
        <w:ind w:firstLine="480" w:firstLineChars="200"/>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360" w:lineRule="auto"/>
        <w:ind w:firstLine="480" w:firstLineChars="200"/>
        <w:jc w:val="center"/>
        <w:rPr>
          <w:rFonts w:hint="eastAsia" w:ascii="微软雅黑" w:hAnsi="微软雅黑" w:eastAsia="微软雅黑" w:cs="微软雅黑"/>
          <w:sz w:val="24"/>
          <w:szCs w:val="24"/>
        </w:rPr>
      </w:pPr>
    </w:p>
    <w:p>
      <w:pPr>
        <w:spacing w:line="240" w:lineRule="auto"/>
        <w:ind w:firstLine="0"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spacing w:line="500" w:lineRule="exact"/>
        <w:ind w:firstLine="0" w:firstLineChars="0"/>
        <w:jc w:val="center"/>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lang w:eastAsia="zh-CN"/>
        </w:rPr>
        <w:t>采购</w:t>
      </w:r>
      <w:r>
        <w:rPr>
          <w:rFonts w:hint="eastAsia" w:ascii="微软雅黑" w:hAnsi="微软雅黑" w:eastAsia="微软雅黑" w:cs="微软雅黑"/>
          <w:b w:val="0"/>
          <w:bCs w:val="0"/>
          <w:sz w:val="32"/>
          <w:szCs w:val="32"/>
        </w:rPr>
        <w:t>文件发售登记表</w:t>
      </w:r>
    </w:p>
    <w:p>
      <w:pPr>
        <w:spacing w:line="500" w:lineRule="exact"/>
        <w:ind w:firstLine="640" w:firstLineChars="200"/>
        <w:jc w:val="center"/>
        <w:rPr>
          <w:rFonts w:hint="eastAsia" w:ascii="微软雅黑" w:hAnsi="微软雅黑" w:eastAsia="微软雅黑" w:cs="微软雅黑"/>
          <w:b w:val="0"/>
          <w:bCs w:val="0"/>
          <w:spacing w:val="0"/>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267"/>
        <w:gridCol w:w="1400"/>
        <w:gridCol w:w="72"/>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项目号</w:t>
            </w:r>
          </w:p>
        </w:tc>
        <w:tc>
          <w:tcPr>
            <w:tcW w:w="2267" w:type="dxa"/>
            <w:noWrap w:val="0"/>
            <w:vAlign w:val="center"/>
          </w:tcPr>
          <w:p>
            <w:pPr>
              <w:spacing w:line="500" w:lineRule="exact"/>
              <w:ind w:firstLine="480" w:firstLineChars="2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400" w:type="dxa"/>
            <w:noWrap w:val="0"/>
            <w:vAlign w:val="center"/>
          </w:tcPr>
          <w:p>
            <w:pPr>
              <w:spacing w:line="500" w:lineRule="exact"/>
              <w:ind w:firstLine="480" w:firstLineChars="2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项目</w:t>
            </w:r>
          </w:p>
          <w:p>
            <w:pPr>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编号</w:t>
            </w:r>
          </w:p>
        </w:tc>
        <w:tc>
          <w:tcPr>
            <w:tcW w:w="3243" w:type="dxa"/>
            <w:gridSpan w:val="2"/>
            <w:noWrap w:val="0"/>
            <w:vAlign w:val="center"/>
          </w:tcPr>
          <w:p>
            <w:pPr>
              <w:spacing w:line="500" w:lineRule="exact"/>
              <w:ind w:firstLine="480" w:firstLineChars="2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p>
        </w:tc>
        <w:tc>
          <w:tcPr>
            <w:tcW w:w="6910" w:type="dxa"/>
            <w:gridSpan w:val="4"/>
            <w:noWrap w:val="0"/>
            <w:vAlign w:val="center"/>
          </w:tcPr>
          <w:p>
            <w:pPr>
              <w:spacing w:line="500" w:lineRule="exac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tc>
        <w:tc>
          <w:tcPr>
            <w:tcW w:w="6910" w:type="dxa"/>
            <w:gridSpan w:val="4"/>
            <w:noWrap w:val="0"/>
            <w:vAlign w:val="center"/>
          </w:tcPr>
          <w:p>
            <w:pPr>
              <w:spacing w:line="500" w:lineRule="exact"/>
              <w:ind w:firstLine="480" w:firstLineChars="20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地址</w:t>
            </w:r>
          </w:p>
        </w:tc>
        <w:tc>
          <w:tcPr>
            <w:tcW w:w="6910" w:type="dxa"/>
            <w:gridSpan w:val="4"/>
            <w:noWrap w:val="0"/>
            <w:vAlign w:val="center"/>
          </w:tcPr>
          <w:p>
            <w:pPr>
              <w:spacing w:line="500" w:lineRule="exact"/>
              <w:ind w:firstLine="480" w:firstLineChars="20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联系人</w:t>
            </w:r>
          </w:p>
        </w:tc>
        <w:tc>
          <w:tcPr>
            <w:tcW w:w="2267" w:type="dxa"/>
            <w:noWrap w:val="0"/>
            <w:vAlign w:val="center"/>
          </w:tcPr>
          <w:p>
            <w:pPr>
              <w:spacing w:line="500" w:lineRule="exact"/>
              <w:ind w:firstLine="480" w:firstLineChars="200"/>
              <w:jc w:val="left"/>
              <w:rPr>
                <w:rFonts w:hint="eastAsia" w:ascii="微软雅黑" w:hAnsi="微软雅黑" w:eastAsia="微软雅黑" w:cs="微软雅黑"/>
                <w:sz w:val="24"/>
                <w:szCs w:val="24"/>
              </w:rPr>
            </w:pPr>
          </w:p>
        </w:tc>
        <w:tc>
          <w:tcPr>
            <w:tcW w:w="1472" w:type="dxa"/>
            <w:gridSpan w:val="2"/>
            <w:noWrap w:val="0"/>
            <w:vAlign w:val="center"/>
          </w:tcPr>
          <w:p>
            <w:pPr>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手机</w:t>
            </w:r>
          </w:p>
        </w:tc>
        <w:tc>
          <w:tcPr>
            <w:tcW w:w="3171" w:type="dxa"/>
            <w:noWrap w:val="0"/>
            <w:vAlign w:val="center"/>
          </w:tcPr>
          <w:p>
            <w:pPr>
              <w:spacing w:line="500" w:lineRule="exact"/>
              <w:ind w:firstLine="480" w:firstLineChars="20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办公电话</w:t>
            </w:r>
          </w:p>
        </w:tc>
        <w:tc>
          <w:tcPr>
            <w:tcW w:w="2267" w:type="dxa"/>
            <w:noWrap w:val="0"/>
            <w:vAlign w:val="center"/>
          </w:tcPr>
          <w:p>
            <w:pPr>
              <w:spacing w:line="500" w:lineRule="exact"/>
              <w:ind w:firstLine="480" w:firstLineChars="200"/>
              <w:jc w:val="left"/>
              <w:rPr>
                <w:rFonts w:hint="eastAsia" w:ascii="微软雅黑" w:hAnsi="微软雅黑" w:eastAsia="微软雅黑" w:cs="微软雅黑"/>
                <w:sz w:val="24"/>
                <w:szCs w:val="24"/>
              </w:rPr>
            </w:pPr>
          </w:p>
        </w:tc>
        <w:tc>
          <w:tcPr>
            <w:tcW w:w="1472" w:type="dxa"/>
            <w:gridSpan w:val="2"/>
            <w:noWrap w:val="0"/>
            <w:vAlign w:val="center"/>
          </w:tcPr>
          <w:p>
            <w:pPr>
              <w:spacing w:line="500" w:lineRule="exac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传真</w:t>
            </w:r>
          </w:p>
        </w:tc>
        <w:tc>
          <w:tcPr>
            <w:tcW w:w="3171" w:type="dxa"/>
            <w:noWrap w:val="0"/>
            <w:vAlign w:val="center"/>
          </w:tcPr>
          <w:p>
            <w:pPr>
              <w:spacing w:line="500" w:lineRule="exact"/>
              <w:ind w:firstLine="480" w:firstLineChars="20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E-mail</w:t>
            </w:r>
          </w:p>
        </w:tc>
        <w:tc>
          <w:tcPr>
            <w:tcW w:w="6910" w:type="dxa"/>
            <w:gridSpan w:val="4"/>
            <w:noWrap w:val="0"/>
            <w:vAlign w:val="center"/>
          </w:tcPr>
          <w:p>
            <w:pPr>
              <w:spacing w:line="500" w:lineRule="exact"/>
              <w:ind w:firstLine="480" w:firstLineChars="200"/>
              <w:jc w:val="left"/>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购买时间</w:t>
            </w:r>
          </w:p>
        </w:tc>
        <w:tc>
          <w:tcPr>
            <w:tcW w:w="6910" w:type="dxa"/>
            <w:gridSpan w:val="4"/>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2023</w:t>
            </w:r>
            <w:r>
              <w:rPr>
                <w:rFonts w:hint="eastAsia" w:ascii="微软雅黑" w:hAnsi="微软雅黑" w:eastAsia="微软雅黑" w:cs="微软雅黑"/>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810" w:type="dxa"/>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比选</w:t>
            </w:r>
            <w:r>
              <w:rPr>
                <w:rFonts w:hint="eastAsia" w:ascii="微软雅黑" w:hAnsi="微软雅黑" w:eastAsia="微软雅黑" w:cs="微软雅黑"/>
                <w:sz w:val="24"/>
                <w:szCs w:val="24"/>
              </w:rPr>
              <w:t>文件售价</w:t>
            </w:r>
          </w:p>
        </w:tc>
        <w:tc>
          <w:tcPr>
            <w:tcW w:w="6910" w:type="dxa"/>
            <w:gridSpan w:val="4"/>
            <w:noWrap w:val="0"/>
            <w:vAlign w:val="center"/>
          </w:tcPr>
          <w:p>
            <w:pPr>
              <w:spacing w:line="500" w:lineRule="exact"/>
              <w:ind w:firstLine="0" w:firstLineChars="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人民币：300元/</w:t>
            </w:r>
            <w:r>
              <w:rPr>
                <w:rFonts w:hint="eastAsia" w:ascii="微软雅黑" w:hAnsi="微软雅黑" w:eastAsia="微软雅黑" w:cs="微软雅黑"/>
                <w:sz w:val="24"/>
                <w:szCs w:val="24"/>
                <w:lang w:eastAsia="zh-CN"/>
              </w:rPr>
              <w:t>份</w:t>
            </w:r>
            <w:r>
              <w:rPr>
                <w:rFonts w:hint="eastAsia" w:ascii="微软雅黑" w:hAnsi="微软雅黑" w:eastAsia="微软雅黑" w:cs="微软雅黑"/>
                <w:sz w:val="24"/>
                <w:szCs w:val="24"/>
              </w:rPr>
              <w:t>（售后不退）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1810" w:type="dxa"/>
            <w:noWrap w:val="0"/>
            <w:vAlign w:val="center"/>
          </w:tcPr>
          <w:p>
            <w:pPr>
              <w:spacing w:line="500" w:lineRule="exact"/>
              <w:ind w:firstLine="480" w:firstLineChars="20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c>
          <w:tcPr>
            <w:tcW w:w="6910" w:type="dxa"/>
            <w:gridSpan w:val="4"/>
            <w:noWrap w:val="0"/>
            <w:vAlign w:val="center"/>
          </w:tcPr>
          <w:p>
            <w:pPr>
              <w:spacing w:line="500" w:lineRule="exact"/>
              <w:ind w:firstLine="480" w:firstLineChars="200"/>
              <w:jc w:val="left"/>
              <w:rPr>
                <w:rFonts w:hint="eastAsia" w:ascii="微软雅黑" w:hAnsi="微软雅黑" w:eastAsia="微软雅黑" w:cs="微软雅黑"/>
                <w:sz w:val="24"/>
                <w:szCs w:val="24"/>
              </w:rPr>
            </w:pPr>
          </w:p>
        </w:tc>
      </w:tr>
    </w:tbl>
    <w:p>
      <w:pPr>
        <w:spacing w:line="500" w:lineRule="exact"/>
        <w:ind w:firstLine="480" w:firstLineChars="200"/>
        <w:rPr>
          <w:rFonts w:hint="eastAsia" w:ascii="微软雅黑" w:hAnsi="微软雅黑" w:eastAsia="微软雅黑" w:cs="微软雅黑"/>
          <w:color w:val="auto"/>
          <w:sz w:val="24"/>
          <w:szCs w:val="24"/>
          <w:lang w:val="en-US" w:eastAsia="zh-CN"/>
        </w:rPr>
      </w:pPr>
    </w:p>
    <w:p>
      <w:pPr>
        <w:spacing w:line="500" w:lineRule="exact"/>
        <w:ind w:firstLine="480" w:firstLineChars="200"/>
        <w:jc w:val="center"/>
        <w:rPr>
          <w:rFonts w:hint="eastAsia" w:ascii="微软雅黑" w:hAnsi="微软雅黑" w:eastAsia="微软雅黑" w:cs="微软雅黑"/>
          <w:sz w:val="24"/>
          <w:szCs w:val="24"/>
        </w:rPr>
      </w:pPr>
    </w:p>
    <w:p>
      <w:pPr>
        <w:jc w:val="center"/>
        <w:rPr>
          <w:rFonts w:hint="eastAsia" w:ascii="微软雅黑" w:hAnsi="微软雅黑" w:eastAsia="微软雅黑" w:cs="微软雅黑"/>
        </w:rPr>
      </w:pPr>
      <w:r>
        <w:rPr>
          <w:rFonts w:hint="default" w:ascii="微软雅黑" w:hAnsi="微软雅黑" w:eastAsia="微软雅黑" w:cs="微软雅黑"/>
          <w:sz w:val="24"/>
          <w:szCs w:val="24"/>
        </w:rPr>
        <w:t>（结束）</w:t>
      </w:r>
    </w:p>
    <w:p/>
    <w:sectPr>
      <w:headerReference r:id="rId7"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2000000000000000000"/>
    <w:charset w:val="86"/>
    <w:family w:val="auto"/>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- 16 -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方正仿宋_GBK" w:eastAsia="方正仿宋_GBK"/>
        <w:sz w:val="21"/>
        <w:szCs w:val="21"/>
      </w:rPr>
    </w:pPr>
    <w:r>
      <w:rPr>
        <w:rFonts w:hint="eastAsia" w:ascii="方正仿宋_GBK" w:eastAsia="方正仿宋_GBK"/>
        <w:sz w:val="21"/>
        <w:szCs w:val="21"/>
      </w:rPr>
      <w:t>重庆市</w:t>
    </w:r>
    <w:r>
      <w:rPr>
        <w:rFonts w:hint="eastAsia" w:ascii="方正仿宋_GBK" w:eastAsia="方正仿宋_GBK"/>
        <w:sz w:val="21"/>
        <w:szCs w:val="21"/>
        <w:lang w:eastAsia="zh-CN"/>
      </w:rPr>
      <w:t>会展服务</w:t>
    </w:r>
    <w:r>
      <w:rPr>
        <w:rFonts w:hint="eastAsia" w:ascii="方正仿宋_GBK" w:eastAsia="方正仿宋_GBK"/>
        <w:sz w:val="21"/>
        <w:szCs w:val="21"/>
      </w:rPr>
      <w:t>中心                                                     竞争性</w:t>
    </w:r>
    <w:r>
      <w:rPr>
        <w:rFonts w:hint="eastAsia" w:ascii="方正仿宋_GBK" w:eastAsia="方正仿宋_GBK"/>
        <w:sz w:val="21"/>
        <w:szCs w:val="21"/>
        <w:lang w:eastAsia="zh-CN"/>
      </w:rPr>
      <w:t>比选</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方正仿宋_GBK" w:eastAsia="方正仿宋_GBK"/>
        <w:sz w:val="21"/>
        <w:szCs w:val="21"/>
      </w:rPr>
    </w:pPr>
    <w:r>
      <w:rPr>
        <w:rFonts w:hint="eastAsia" w:ascii="方正仿宋_GBK" w:eastAsia="方正仿宋_GBK"/>
        <w:sz w:val="21"/>
        <w:szCs w:val="21"/>
      </w:rPr>
      <w:t>重庆市</w:t>
    </w:r>
    <w:r>
      <w:rPr>
        <w:rFonts w:hint="eastAsia" w:ascii="方正仿宋_GBK" w:eastAsia="方正仿宋_GBK"/>
        <w:sz w:val="21"/>
        <w:szCs w:val="21"/>
        <w:lang w:eastAsia="zh-CN"/>
      </w:rPr>
      <w:t>会展服务</w:t>
    </w:r>
    <w:r>
      <w:rPr>
        <w:rFonts w:hint="eastAsia" w:ascii="方正仿宋_GBK" w:eastAsia="方正仿宋_GBK"/>
        <w:sz w:val="21"/>
        <w:szCs w:val="21"/>
      </w:rPr>
      <w:t>中心                                                     竞争性</w:t>
    </w:r>
    <w:r>
      <w:rPr>
        <w:rFonts w:hint="eastAsia" w:ascii="方正仿宋_GBK" w:eastAsia="方正仿宋_GBK"/>
        <w:sz w:val="21"/>
        <w:szCs w:val="21"/>
        <w:lang w:eastAsia="zh-CN"/>
      </w:rPr>
      <w:t>比选</w:t>
    </w:r>
    <w:r>
      <w:rPr>
        <w:rFonts w:hint="eastAsia" w:ascii="方正仿宋_GBK" w:eastAsia="方正仿宋_GBK"/>
        <w:sz w:val="21"/>
        <w:szCs w:val="21"/>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MWU5ZDZiODE1OWI3Y2M1MzI2NzM5ZTI4MGViZjAifQ=="/>
  </w:docVars>
  <w:rsids>
    <w:rsidRoot w:val="00172A27"/>
    <w:rsid w:val="02265697"/>
    <w:rsid w:val="04B66EAC"/>
    <w:rsid w:val="087A397A"/>
    <w:rsid w:val="099D53F0"/>
    <w:rsid w:val="0FC8173F"/>
    <w:rsid w:val="1024184A"/>
    <w:rsid w:val="14C8795A"/>
    <w:rsid w:val="17960C4D"/>
    <w:rsid w:val="194A4B48"/>
    <w:rsid w:val="1A546D31"/>
    <w:rsid w:val="1B9C027D"/>
    <w:rsid w:val="1BF2117B"/>
    <w:rsid w:val="1E69544E"/>
    <w:rsid w:val="1F34302A"/>
    <w:rsid w:val="203F775B"/>
    <w:rsid w:val="21451AE6"/>
    <w:rsid w:val="21DA1AFF"/>
    <w:rsid w:val="22634268"/>
    <w:rsid w:val="243F6582"/>
    <w:rsid w:val="25A95A70"/>
    <w:rsid w:val="26666AF5"/>
    <w:rsid w:val="28920A3E"/>
    <w:rsid w:val="292B6F8D"/>
    <w:rsid w:val="2BFD76DA"/>
    <w:rsid w:val="32053CA6"/>
    <w:rsid w:val="32B52B8C"/>
    <w:rsid w:val="33182B1E"/>
    <w:rsid w:val="37540E2F"/>
    <w:rsid w:val="38F84695"/>
    <w:rsid w:val="3A2310FF"/>
    <w:rsid w:val="3D5C2359"/>
    <w:rsid w:val="453D1F71"/>
    <w:rsid w:val="46D4328E"/>
    <w:rsid w:val="477D30A1"/>
    <w:rsid w:val="4A607374"/>
    <w:rsid w:val="4D061799"/>
    <w:rsid w:val="4DA61BB2"/>
    <w:rsid w:val="4F6B57BA"/>
    <w:rsid w:val="50F23EC9"/>
    <w:rsid w:val="528F0A0D"/>
    <w:rsid w:val="56617B1E"/>
    <w:rsid w:val="63160218"/>
    <w:rsid w:val="638E7A78"/>
    <w:rsid w:val="6511735D"/>
    <w:rsid w:val="6707201B"/>
    <w:rsid w:val="68D63115"/>
    <w:rsid w:val="6B145F41"/>
    <w:rsid w:val="6B6619FD"/>
    <w:rsid w:val="6FD66A2F"/>
    <w:rsid w:val="705A4747"/>
    <w:rsid w:val="70E1335E"/>
    <w:rsid w:val="72F4715A"/>
    <w:rsid w:val="730B56A4"/>
    <w:rsid w:val="75644C8D"/>
    <w:rsid w:val="78E95682"/>
    <w:rsid w:val="7B92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23"/>
    <w:semiHidden/>
    <w:unhideWhenUsed/>
    <w:qFormat/>
    <w:uiPriority w:val="0"/>
    <w:pPr>
      <w:keepNext/>
      <w:keepLines/>
      <w:spacing w:before="260" w:beforeLines="0" w:beforeAutospacing="0" w:after="260" w:afterLines="0" w:afterAutospacing="0" w:line="600" w:lineRule="exact"/>
      <w:ind w:firstLine="880" w:firstLineChars="200"/>
      <w:jc w:val="left"/>
      <w:outlineLvl w:val="1"/>
    </w:pPr>
    <w:rPr>
      <w:rFonts w:ascii="Arial" w:hAnsi="Arial" w:eastAsia="方正楷体_GBK"/>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2"/>
    <w:basedOn w:val="1"/>
    <w:next w:val="1"/>
    <w:qFormat/>
    <w:uiPriority w:val="0"/>
    <w:pPr>
      <w:ind w:left="420" w:leftChars="200"/>
    </w:pPr>
  </w:style>
  <w:style w:type="paragraph" w:styleId="15">
    <w:name w:val="Body Text First Indent 2"/>
    <w:basedOn w:val="7"/>
    <w:next w:val="1"/>
    <w:qFormat/>
    <w:uiPriority w:val="99"/>
    <w:pPr>
      <w:spacing w:after="120" w:line="240" w:lineRule="auto"/>
      <w:ind w:left="420" w:leftChars="200" w:firstLine="420" w:firstLineChars="200"/>
    </w:pPr>
  </w:style>
  <w:style w:type="character" w:styleId="18">
    <w:name w:val="page number"/>
    <w:basedOn w:val="17"/>
    <w:qFormat/>
    <w:uiPriority w:val="0"/>
  </w:style>
  <w:style w:type="paragraph" w:customStyle="1" w:styleId="19">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0">
    <w:name w:val="1"/>
    <w:basedOn w:val="1"/>
    <w:next w:val="9"/>
    <w:qFormat/>
    <w:uiPriority w:val="0"/>
    <w:rPr>
      <w:rFonts w:ascii="宋体" w:hAnsi="Courier New"/>
      <w:sz w:val="21"/>
    </w:rPr>
  </w:style>
  <w:style w:type="paragraph" w:customStyle="1" w:styleId="21">
    <w:name w:val="1.正文"/>
    <w:basedOn w:val="1"/>
    <w:qFormat/>
    <w:uiPriority w:val="0"/>
    <w:pPr>
      <w:spacing w:line="360" w:lineRule="auto"/>
      <w:ind w:left="540" w:leftChars="225" w:firstLine="540" w:firstLineChars="225"/>
    </w:pPr>
    <w:rPr>
      <w:sz w:val="24"/>
    </w:rPr>
  </w:style>
  <w:style w:type="paragraph" w:customStyle="1" w:styleId="22">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3">
    <w:name w:val="标题 2 字符2"/>
    <w:link w:val="4"/>
    <w:qFormat/>
    <w:uiPriority w:val="0"/>
    <w:rPr>
      <w:rFonts w:ascii="Arial" w:hAnsi="Arial" w:eastAsia="方正楷体_GBK"/>
      <w:sz w:val="32"/>
    </w:rPr>
  </w:style>
  <w:style w:type="paragraph" w:customStyle="1" w:styleId="24">
    <w:name w:val="标准正文"/>
    <w:basedOn w:val="7"/>
    <w:qFormat/>
    <w:uiPriority w:val="0"/>
    <w:pPr>
      <w:spacing w:before="60" w:beforeAutospacing="0" w:after="60" w:afterAutospacing="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11938</Words>
  <Characters>12424</Characters>
  <Lines>0</Lines>
  <Paragraphs>0</Paragraphs>
  <TotalTime>3</TotalTime>
  <ScaleCrop>false</ScaleCrop>
  <LinksUpToDate>false</LinksUpToDate>
  <CharactersWithSpaces>13550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2022-06-09T02:36:00Z</dcterms:created>
  <dc:creator>小脚33</dc:creator>
  <cp:lastModifiedBy>中仪国际招标有限公司</cp:lastModifiedBy>
  <dcterms:modified xsi:type="dcterms:W3CDTF">2023-08-25T07:13:08Z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ACD07D40D12D4991BAF09B19DB764D81_13</vt:lpwstr>
  </property>
</Properties>
</file>