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40" w:lineRule="auto"/>
        <w:ind w:left="0"/>
        <w:jc w:val="center"/>
        <w:rPr>
          <w:rFonts w:ascii="仿宋" w:hAnsi="仿宋" w:eastAsia="仿宋" w:cs="仿宋"/>
          <w:sz w:val="144"/>
          <w:szCs w:val="48"/>
        </w:rPr>
      </w:pPr>
      <w:bookmarkStart w:id="134" w:name="_GoBack"/>
      <w:bookmarkEnd w:id="134"/>
      <w:r>
        <w:rPr>
          <w:rFonts w:hint="eastAsia" w:ascii="仿宋" w:hAnsi="仿宋" w:eastAsia="仿宋" w:cs="仿宋"/>
          <w:sz w:val="144"/>
          <w:szCs w:val="48"/>
        </w:rPr>
        <w:t>竞争性比选</w:t>
      </w:r>
    </w:p>
    <w:p>
      <w:pPr>
        <w:pStyle w:val="8"/>
        <w:spacing w:line="240" w:lineRule="auto"/>
        <w:ind w:left="0"/>
        <w:jc w:val="center"/>
        <w:rPr>
          <w:rFonts w:ascii="仿宋" w:hAnsi="仿宋" w:eastAsia="仿宋" w:cs="仿宋"/>
          <w:sz w:val="144"/>
          <w:szCs w:val="48"/>
        </w:rPr>
      </w:pPr>
      <w:r>
        <w:rPr>
          <w:rFonts w:hint="eastAsia" w:ascii="仿宋" w:hAnsi="仿宋" w:eastAsia="仿宋" w:cs="仿宋"/>
          <w:sz w:val="144"/>
          <w:szCs w:val="48"/>
        </w:rPr>
        <w:t>采购文件</w:t>
      </w:r>
    </w:p>
    <w:p>
      <w:pPr>
        <w:spacing w:line="700" w:lineRule="exact"/>
        <w:jc w:val="center"/>
        <w:rPr>
          <w:rFonts w:ascii="微软雅黑" w:hAnsi="微软雅黑" w:eastAsia="微软雅黑" w:cs="微软雅黑"/>
          <w:sz w:val="32"/>
        </w:rPr>
      </w:pPr>
    </w:p>
    <w:p>
      <w:pPr>
        <w:spacing w:line="700" w:lineRule="exact"/>
        <w:rPr>
          <w:rFonts w:ascii="微软雅黑" w:hAnsi="微软雅黑" w:eastAsia="微软雅黑" w:cs="微软雅黑"/>
          <w:sz w:val="36"/>
          <w:szCs w:val="30"/>
        </w:rPr>
      </w:pPr>
      <w:r>
        <w:rPr>
          <w:rFonts w:hint="eastAsia" w:ascii="微软雅黑" w:hAnsi="微软雅黑" w:eastAsia="微软雅黑" w:cs="微软雅黑"/>
          <w:sz w:val="36"/>
          <w:szCs w:val="30"/>
        </w:rPr>
        <w:t xml:space="preserve"> </w:t>
      </w:r>
    </w:p>
    <w:p>
      <w:pPr>
        <w:ind w:left="1600" w:hanging="1600" w:hangingChars="500"/>
        <w:rPr>
          <w:rFonts w:ascii="仿宋" w:hAnsi="仿宋" w:eastAsia="仿宋"/>
          <w:sz w:val="32"/>
          <w:szCs w:val="32"/>
        </w:rPr>
      </w:pPr>
      <w:r>
        <w:rPr>
          <w:rFonts w:hint="eastAsia" w:ascii="仿宋" w:hAnsi="仿宋" w:eastAsia="仿宋"/>
          <w:sz w:val="32"/>
          <w:szCs w:val="32"/>
          <w:lang w:eastAsia="zh-Hans"/>
        </w:rPr>
        <w:t>项目名称：</w:t>
      </w:r>
      <w:r>
        <w:rPr>
          <w:rFonts w:hint="eastAsia" w:ascii="仿宋" w:hAnsi="仿宋" w:eastAsia="仿宋"/>
          <w:color w:val="auto"/>
          <w:sz w:val="32"/>
          <w:szCs w:val="32"/>
          <w:highlight w:val="none"/>
        </w:rPr>
        <w:t>2023中国国际智能产业博览会重大项目集中签约活动策划设计及氛围营造</w:t>
      </w:r>
    </w:p>
    <w:p>
      <w:pPr>
        <w:rPr>
          <w:rFonts w:hint="eastAsia" w:ascii="仿宋" w:hAnsi="仿宋" w:eastAsia="宋体"/>
          <w:sz w:val="32"/>
          <w:szCs w:val="32"/>
          <w:lang w:val="en-US" w:eastAsia="zh-CN"/>
        </w:rPr>
      </w:pPr>
      <w:r>
        <w:rPr>
          <w:rFonts w:hint="eastAsia" w:ascii="仿宋" w:hAnsi="仿宋" w:eastAsia="仿宋"/>
          <w:sz w:val="32"/>
          <w:szCs w:val="32"/>
        </w:rPr>
        <w:t>项目编号：</w:t>
      </w:r>
      <w:r>
        <w:rPr>
          <w:rFonts w:hint="eastAsia" w:ascii="仿宋" w:hAnsi="仿宋" w:eastAsia="仿宋" w:cs="Times New Roman"/>
          <w:color w:val="auto"/>
          <w:sz w:val="32"/>
          <w:szCs w:val="32"/>
          <w:highlight w:val="none"/>
        </w:rPr>
        <w:t>YC-C-2023003</w:t>
      </w:r>
      <w:r>
        <w:rPr>
          <w:rFonts w:hint="eastAsia" w:ascii="仿宋" w:hAnsi="仿宋" w:eastAsia="仿宋" w:cs="Times New Roman"/>
          <w:color w:val="auto"/>
          <w:sz w:val="32"/>
          <w:szCs w:val="32"/>
          <w:highlight w:val="none"/>
          <w:lang w:val="en-US" w:eastAsia="zh-CN"/>
        </w:rPr>
        <w:t>5</w:t>
      </w:r>
    </w:p>
    <w:p>
      <w:pPr>
        <w:spacing w:line="700" w:lineRule="exact"/>
        <w:ind w:firstLine="1749" w:firstLineChars="486"/>
        <w:rPr>
          <w:rFonts w:ascii="微软雅黑" w:hAnsi="微软雅黑" w:eastAsia="微软雅黑" w:cs="微软雅黑"/>
          <w:sz w:val="36"/>
          <w:szCs w:val="30"/>
        </w:rPr>
      </w:pPr>
    </w:p>
    <w:p>
      <w:pPr>
        <w:spacing w:line="700" w:lineRule="exact"/>
        <w:jc w:val="center"/>
        <w:rPr>
          <w:rFonts w:ascii="微软雅黑" w:hAnsi="微软雅黑" w:eastAsia="微软雅黑" w:cs="微软雅黑"/>
          <w:b/>
          <w:sz w:val="30"/>
          <w:szCs w:val="30"/>
        </w:rPr>
      </w:pPr>
    </w:p>
    <w:p>
      <w:pPr>
        <w:spacing w:line="700" w:lineRule="exact"/>
        <w:jc w:val="center"/>
        <w:rPr>
          <w:rFonts w:ascii="微软雅黑" w:hAnsi="微软雅黑" w:eastAsia="微软雅黑" w:cs="微软雅黑"/>
          <w:b/>
          <w:sz w:val="30"/>
          <w:szCs w:val="30"/>
        </w:rPr>
      </w:pPr>
    </w:p>
    <w:p>
      <w:pPr>
        <w:spacing w:line="700" w:lineRule="exact"/>
        <w:jc w:val="center"/>
        <w:rPr>
          <w:rFonts w:ascii="微软雅黑" w:hAnsi="微软雅黑" w:eastAsia="微软雅黑" w:cs="微软雅黑"/>
          <w:b/>
          <w:sz w:val="44"/>
          <w:szCs w:val="44"/>
        </w:rPr>
      </w:pPr>
      <w:r>
        <w:rPr>
          <w:rFonts w:hint="eastAsia" w:ascii="微软雅黑" w:hAnsi="微软雅黑" w:eastAsia="微软雅黑" w:cs="微软雅黑"/>
          <w:sz w:val="44"/>
          <w:szCs w:val="44"/>
        </w:rPr>
        <w:t>采购人：重庆市会展服务中心</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二〇二三年八月</w:t>
      </w:r>
    </w:p>
    <w:p>
      <w:pPr>
        <w:spacing w:line="480" w:lineRule="exact"/>
        <w:jc w:val="center"/>
        <w:outlineLvl w:val="0"/>
        <w:rPr>
          <w:rFonts w:ascii="微软雅黑" w:hAnsi="微软雅黑" w:eastAsia="微软雅黑" w:cs="微软雅黑"/>
          <w:sz w:val="44"/>
          <w:szCs w:val="28"/>
        </w:rPr>
      </w:pPr>
      <w:r>
        <w:rPr>
          <w:rFonts w:hint="eastAsia" w:ascii="微软雅黑" w:hAnsi="微软雅黑" w:eastAsia="微软雅黑" w:cs="微软雅黑"/>
          <w:sz w:val="44"/>
          <w:szCs w:val="28"/>
        </w:rPr>
        <w:br w:type="page"/>
      </w:r>
      <w:r>
        <w:rPr>
          <w:rFonts w:hint="eastAsia" w:ascii="微软雅黑" w:hAnsi="微软雅黑" w:eastAsia="微软雅黑" w:cs="微软雅黑"/>
          <w:sz w:val="44"/>
          <w:szCs w:val="28"/>
        </w:rPr>
        <w:t>目   录</w:t>
      </w:r>
    </w:p>
    <w:p>
      <w:pPr>
        <w:pStyle w:val="15"/>
        <w:tabs>
          <w:tab w:val="right" w:leader="dot" w:pos="9412"/>
        </w:tabs>
        <w:ind w:left="560"/>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fldChar w:fldCharType="begin"/>
      </w:r>
      <w:r>
        <w:instrText xml:space="preserve"> HYPERLINK \l "_Toc29354" </w:instrText>
      </w:r>
      <w:r>
        <w:fldChar w:fldCharType="separate"/>
      </w:r>
      <w:r>
        <w:rPr>
          <w:rFonts w:hint="eastAsia" w:ascii="微软雅黑" w:hAnsi="微软雅黑" w:eastAsia="微软雅黑" w:cs="微软雅黑"/>
          <w:szCs w:val="30"/>
        </w:rPr>
        <w:t>第一篇  采购</w:t>
      </w:r>
      <w:r>
        <w:rPr>
          <w:rFonts w:hint="eastAsia" w:ascii="微软雅黑" w:hAnsi="微软雅黑" w:eastAsia="微软雅黑" w:cs="微软雅黑"/>
          <w:szCs w:val="30"/>
          <w:lang w:val="en-US" w:eastAsia="zh-CN"/>
        </w:rPr>
        <w:t>公告</w:t>
      </w:r>
      <w:r>
        <w:tab/>
      </w:r>
      <w:r>
        <w:fldChar w:fldCharType="begin"/>
      </w:r>
      <w:r>
        <w:instrText xml:space="preserve"> PAGEREF _Toc29354 \h </w:instrText>
      </w:r>
      <w:r>
        <w:fldChar w:fldCharType="separate"/>
      </w:r>
      <w:r>
        <w:t>4</w:t>
      </w:r>
      <w:r>
        <w:fldChar w:fldCharType="end"/>
      </w:r>
      <w:r>
        <w:fldChar w:fldCharType="end"/>
      </w:r>
    </w:p>
    <w:p>
      <w:pPr>
        <w:pStyle w:val="9"/>
        <w:tabs>
          <w:tab w:val="right" w:leader="dot" w:pos="9412"/>
        </w:tabs>
        <w:ind w:left="1120"/>
      </w:pPr>
      <w:r>
        <w:fldChar w:fldCharType="begin"/>
      </w:r>
      <w:r>
        <w:instrText xml:space="preserve"> HYPERLINK \l "_Toc21121" </w:instrText>
      </w:r>
      <w:r>
        <w:fldChar w:fldCharType="separate"/>
      </w:r>
      <w:r>
        <w:rPr>
          <w:rFonts w:hint="eastAsia" w:ascii="微软雅黑" w:hAnsi="微软雅黑" w:eastAsia="微软雅黑" w:cs="微软雅黑"/>
          <w:szCs w:val="24"/>
        </w:rPr>
        <w:t>一、竞争性比选内容</w:t>
      </w:r>
      <w:r>
        <w:tab/>
      </w:r>
      <w:r>
        <w:fldChar w:fldCharType="begin"/>
      </w:r>
      <w:r>
        <w:instrText xml:space="preserve"> PAGEREF _Toc21121 \h </w:instrText>
      </w:r>
      <w:r>
        <w:fldChar w:fldCharType="separate"/>
      </w:r>
      <w:r>
        <w:t>4</w:t>
      </w:r>
      <w:r>
        <w:fldChar w:fldCharType="end"/>
      </w:r>
      <w:r>
        <w:fldChar w:fldCharType="end"/>
      </w:r>
    </w:p>
    <w:p>
      <w:pPr>
        <w:pStyle w:val="9"/>
        <w:tabs>
          <w:tab w:val="right" w:leader="dot" w:pos="9412"/>
        </w:tabs>
        <w:ind w:left="1120"/>
      </w:pPr>
      <w:r>
        <w:fldChar w:fldCharType="begin"/>
      </w:r>
      <w:r>
        <w:instrText xml:space="preserve"> HYPERLINK \l "_Toc25484" </w:instrText>
      </w:r>
      <w:r>
        <w:fldChar w:fldCharType="separate"/>
      </w:r>
      <w:r>
        <w:rPr>
          <w:rFonts w:hint="eastAsia" w:ascii="微软雅黑" w:hAnsi="微软雅黑" w:eastAsia="微软雅黑" w:cs="微软雅黑"/>
          <w:szCs w:val="24"/>
        </w:rPr>
        <w:t>二、资金来源</w:t>
      </w:r>
      <w:r>
        <w:tab/>
      </w:r>
      <w:r>
        <w:fldChar w:fldCharType="begin"/>
      </w:r>
      <w:r>
        <w:instrText xml:space="preserve"> PAGEREF _Toc25484 \h </w:instrText>
      </w:r>
      <w:r>
        <w:fldChar w:fldCharType="separate"/>
      </w:r>
      <w:r>
        <w:t>4</w:t>
      </w:r>
      <w:r>
        <w:fldChar w:fldCharType="end"/>
      </w:r>
      <w:r>
        <w:fldChar w:fldCharType="end"/>
      </w:r>
    </w:p>
    <w:p>
      <w:pPr>
        <w:pStyle w:val="9"/>
        <w:tabs>
          <w:tab w:val="right" w:leader="dot" w:pos="9412"/>
        </w:tabs>
        <w:ind w:left="1120"/>
      </w:pPr>
      <w:r>
        <w:fldChar w:fldCharType="begin"/>
      </w:r>
      <w:r>
        <w:instrText xml:space="preserve"> HYPERLINK \l "_Toc6887" </w:instrText>
      </w:r>
      <w:r>
        <w:fldChar w:fldCharType="separate"/>
      </w:r>
      <w:r>
        <w:rPr>
          <w:rFonts w:hint="eastAsia" w:ascii="微软雅黑" w:hAnsi="微软雅黑" w:eastAsia="微软雅黑" w:cs="微软雅黑"/>
          <w:szCs w:val="24"/>
        </w:rPr>
        <w:t>三、供应商资格条件</w:t>
      </w:r>
      <w:r>
        <w:tab/>
      </w:r>
      <w:r>
        <w:fldChar w:fldCharType="begin"/>
      </w:r>
      <w:r>
        <w:instrText xml:space="preserve"> PAGEREF _Toc6887 \h </w:instrText>
      </w:r>
      <w:r>
        <w:fldChar w:fldCharType="separate"/>
      </w:r>
      <w:r>
        <w:t>4</w:t>
      </w:r>
      <w:r>
        <w:fldChar w:fldCharType="end"/>
      </w:r>
      <w:r>
        <w:fldChar w:fldCharType="end"/>
      </w:r>
    </w:p>
    <w:p>
      <w:pPr>
        <w:pStyle w:val="9"/>
        <w:tabs>
          <w:tab w:val="right" w:leader="dot" w:pos="9412"/>
        </w:tabs>
        <w:ind w:left="1120"/>
      </w:pPr>
      <w:r>
        <w:fldChar w:fldCharType="begin"/>
      </w:r>
      <w:r>
        <w:instrText xml:space="preserve"> HYPERLINK \l "_Toc208" </w:instrText>
      </w:r>
      <w:r>
        <w:fldChar w:fldCharType="separate"/>
      </w:r>
      <w:r>
        <w:rPr>
          <w:rFonts w:hint="eastAsia" w:ascii="微软雅黑" w:hAnsi="微软雅黑" w:eastAsia="微软雅黑" w:cs="微软雅黑"/>
          <w:szCs w:val="24"/>
        </w:rPr>
        <w:t>四、竞争性比选有关说明</w:t>
      </w:r>
      <w:r>
        <w:tab/>
      </w:r>
      <w:r>
        <w:fldChar w:fldCharType="begin"/>
      </w:r>
      <w:r>
        <w:instrText xml:space="preserve"> PAGEREF _Toc208 \h </w:instrText>
      </w:r>
      <w:r>
        <w:fldChar w:fldCharType="separate"/>
      </w:r>
      <w:r>
        <w:t>4</w:t>
      </w:r>
      <w:r>
        <w:fldChar w:fldCharType="end"/>
      </w:r>
      <w:r>
        <w:fldChar w:fldCharType="end"/>
      </w:r>
    </w:p>
    <w:p>
      <w:pPr>
        <w:pStyle w:val="9"/>
        <w:tabs>
          <w:tab w:val="right" w:leader="dot" w:pos="9412"/>
        </w:tabs>
        <w:ind w:left="1120"/>
      </w:pPr>
      <w:r>
        <w:fldChar w:fldCharType="begin"/>
      </w:r>
      <w:r>
        <w:instrText xml:space="preserve"> HYPERLINK \l "_Toc2258" </w:instrText>
      </w:r>
      <w:r>
        <w:fldChar w:fldCharType="separate"/>
      </w:r>
      <w:r>
        <w:rPr>
          <w:rFonts w:hint="eastAsia" w:ascii="微软雅黑" w:hAnsi="微软雅黑" w:eastAsia="微软雅黑" w:cs="微软雅黑"/>
          <w:szCs w:val="24"/>
        </w:rPr>
        <w:t>五、投标保证金</w:t>
      </w:r>
      <w:r>
        <w:tab/>
      </w:r>
      <w:r>
        <w:fldChar w:fldCharType="begin"/>
      </w:r>
      <w:r>
        <w:instrText xml:space="preserve"> PAGEREF _Toc2258 \h </w:instrText>
      </w:r>
      <w:r>
        <w:fldChar w:fldCharType="separate"/>
      </w:r>
      <w:r>
        <w:t>5</w:t>
      </w:r>
      <w:r>
        <w:fldChar w:fldCharType="end"/>
      </w:r>
      <w:r>
        <w:fldChar w:fldCharType="end"/>
      </w:r>
    </w:p>
    <w:p>
      <w:pPr>
        <w:pStyle w:val="9"/>
        <w:tabs>
          <w:tab w:val="right" w:leader="dot" w:pos="9412"/>
        </w:tabs>
        <w:ind w:left="1120"/>
      </w:pPr>
      <w:r>
        <w:fldChar w:fldCharType="begin"/>
      </w:r>
      <w:r>
        <w:instrText xml:space="preserve"> HYPERLINK \l "_Toc27269" </w:instrText>
      </w:r>
      <w:r>
        <w:fldChar w:fldCharType="separate"/>
      </w:r>
      <w:r>
        <w:rPr>
          <w:rFonts w:hint="eastAsia" w:ascii="微软雅黑" w:hAnsi="微软雅黑" w:eastAsia="微软雅黑" w:cs="微软雅黑"/>
          <w:szCs w:val="24"/>
        </w:rPr>
        <w:t>无</w:t>
      </w:r>
      <w:r>
        <w:tab/>
      </w:r>
      <w:r>
        <w:fldChar w:fldCharType="begin"/>
      </w:r>
      <w:r>
        <w:instrText xml:space="preserve"> PAGEREF _Toc27269 \h </w:instrText>
      </w:r>
      <w:r>
        <w:fldChar w:fldCharType="separate"/>
      </w:r>
      <w:r>
        <w:t>5</w:t>
      </w:r>
      <w:r>
        <w:fldChar w:fldCharType="end"/>
      </w:r>
      <w:r>
        <w:fldChar w:fldCharType="end"/>
      </w:r>
    </w:p>
    <w:p>
      <w:pPr>
        <w:pStyle w:val="9"/>
        <w:tabs>
          <w:tab w:val="right" w:leader="dot" w:pos="9412"/>
        </w:tabs>
        <w:ind w:left="1120"/>
      </w:pPr>
      <w:r>
        <w:fldChar w:fldCharType="begin"/>
      </w:r>
      <w:r>
        <w:instrText xml:space="preserve"> HYPERLINK \l "_Toc9074" </w:instrText>
      </w:r>
      <w:r>
        <w:fldChar w:fldCharType="separate"/>
      </w:r>
      <w:r>
        <w:rPr>
          <w:rFonts w:hint="eastAsia" w:ascii="微软雅黑" w:hAnsi="微软雅黑" w:eastAsia="微软雅黑" w:cs="微软雅黑"/>
          <w:szCs w:val="24"/>
        </w:rPr>
        <w:t>六、竞争性比选其它有关规定</w:t>
      </w:r>
      <w:r>
        <w:tab/>
      </w:r>
      <w:r>
        <w:fldChar w:fldCharType="begin"/>
      </w:r>
      <w:r>
        <w:instrText xml:space="preserve"> PAGEREF _Toc9074 \h </w:instrText>
      </w:r>
      <w:r>
        <w:fldChar w:fldCharType="separate"/>
      </w:r>
      <w:r>
        <w:t>5</w:t>
      </w:r>
      <w:r>
        <w:fldChar w:fldCharType="end"/>
      </w:r>
      <w:r>
        <w:fldChar w:fldCharType="end"/>
      </w:r>
    </w:p>
    <w:p>
      <w:pPr>
        <w:pStyle w:val="9"/>
        <w:tabs>
          <w:tab w:val="right" w:leader="dot" w:pos="9412"/>
        </w:tabs>
        <w:ind w:left="1120"/>
      </w:pPr>
      <w:r>
        <w:fldChar w:fldCharType="begin"/>
      </w:r>
      <w:r>
        <w:instrText xml:space="preserve"> HYPERLINK \l "_Toc15629" </w:instrText>
      </w:r>
      <w:r>
        <w:fldChar w:fldCharType="separate"/>
      </w:r>
      <w:r>
        <w:rPr>
          <w:rFonts w:hint="eastAsia" w:ascii="微软雅黑" w:hAnsi="微软雅黑" w:eastAsia="微软雅黑" w:cs="微软雅黑"/>
          <w:szCs w:val="24"/>
        </w:rPr>
        <w:t>七、联系方式</w:t>
      </w:r>
      <w:r>
        <w:tab/>
      </w:r>
      <w:r>
        <w:fldChar w:fldCharType="begin"/>
      </w:r>
      <w:r>
        <w:instrText xml:space="preserve"> PAGEREF _Toc15629 \h </w:instrText>
      </w:r>
      <w:r>
        <w:fldChar w:fldCharType="separate"/>
      </w:r>
      <w:r>
        <w:t>5</w:t>
      </w:r>
      <w:r>
        <w:fldChar w:fldCharType="end"/>
      </w:r>
      <w:r>
        <w:fldChar w:fldCharType="end"/>
      </w:r>
    </w:p>
    <w:p>
      <w:pPr>
        <w:pStyle w:val="15"/>
        <w:tabs>
          <w:tab w:val="right" w:leader="dot" w:pos="9412"/>
        </w:tabs>
        <w:ind w:left="560"/>
      </w:pPr>
      <w:r>
        <w:fldChar w:fldCharType="begin"/>
      </w:r>
      <w:r>
        <w:instrText xml:space="preserve"> HYPERLINK \l "_Toc18377" </w:instrText>
      </w:r>
      <w:r>
        <w:fldChar w:fldCharType="separate"/>
      </w:r>
      <w:r>
        <w:rPr>
          <w:rFonts w:hint="eastAsia" w:ascii="微软雅黑" w:hAnsi="微软雅黑" w:eastAsia="微软雅黑" w:cs="微软雅黑"/>
          <w:szCs w:val="30"/>
        </w:rPr>
        <w:t>第二篇  项目服务需求</w:t>
      </w:r>
      <w:r>
        <w:tab/>
      </w:r>
      <w:r>
        <w:fldChar w:fldCharType="begin"/>
      </w:r>
      <w:r>
        <w:instrText xml:space="preserve"> PAGEREF _Toc18377 \h </w:instrText>
      </w:r>
      <w:r>
        <w:fldChar w:fldCharType="separate"/>
      </w:r>
      <w:r>
        <w:t>7</w:t>
      </w:r>
      <w:r>
        <w:fldChar w:fldCharType="end"/>
      </w:r>
      <w:r>
        <w:fldChar w:fldCharType="end"/>
      </w:r>
    </w:p>
    <w:p>
      <w:pPr>
        <w:pStyle w:val="15"/>
        <w:tabs>
          <w:tab w:val="right" w:leader="dot" w:pos="9412"/>
        </w:tabs>
        <w:ind w:left="560"/>
      </w:pPr>
      <w:r>
        <w:fldChar w:fldCharType="begin"/>
      </w:r>
      <w:r>
        <w:instrText xml:space="preserve"> HYPERLINK \l "_Toc29410" </w:instrText>
      </w:r>
      <w:r>
        <w:fldChar w:fldCharType="separate"/>
      </w:r>
      <w:r>
        <w:rPr>
          <w:rFonts w:hint="eastAsia" w:ascii="微软雅黑" w:hAnsi="微软雅黑" w:eastAsia="微软雅黑" w:cs="微软雅黑"/>
          <w:szCs w:val="30"/>
        </w:rPr>
        <w:t>第三篇  项目商务需求</w:t>
      </w:r>
      <w:r>
        <w:tab/>
      </w:r>
      <w:r>
        <w:fldChar w:fldCharType="begin"/>
      </w:r>
      <w:r>
        <w:instrText xml:space="preserve"> PAGEREF _Toc29410 \h </w:instrText>
      </w:r>
      <w:r>
        <w:fldChar w:fldCharType="separate"/>
      </w:r>
      <w:r>
        <w:t>8</w:t>
      </w:r>
      <w:r>
        <w:fldChar w:fldCharType="end"/>
      </w:r>
      <w:r>
        <w:fldChar w:fldCharType="end"/>
      </w:r>
    </w:p>
    <w:p>
      <w:pPr>
        <w:pStyle w:val="15"/>
        <w:tabs>
          <w:tab w:val="right" w:leader="dot" w:pos="9412"/>
        </w:tabs>
        <w:ind w:left="560"/>
      </w:pPr>
      <w:r>
        <w:fldChar w:fldCharType="begin"/>
      </w:r>
      <w:r>
        <w:instrText xml:space="preserve"> HYPERLINK \l "_Toc23008" </w:instrText>
      </w:r>
      <w:r>
        <w:fldChar w:fldCharType="separate"/>
      </w:r>
      <w:r>
        <w:rPr>
          <w:rFonts w:hint="eastAsia" w:ascii="微软雅黑" w:hAnsi="微软雅黑" w:eastAsia="微软雅黑" w:cs="微软雅黑"/>
          <w:szCs w:val="30"/>
        </w:rPr>
        <w:t>第四篇  比选程序及方法、评审标准、无效响应和</w:t>
      </w:r>
      <w:r>
        <w:rPr>
          <w:rFonts w:hint="eastAsia" w:ascii="微软雅黑" w:hAnsi="微软雅黑" w:eastAsia="微软雅黑" w:cs="微软雅黑"/>
          <w:szCs w:val="36"/>
        </w:rPr>
        <w:t>采购终止</w:t>
      </w:r>
      <w:r>
        <w:tab/>
      </w:r>
      <w:r>
        <w:fldChar w:fldCharType="begin"/>
      </w:r>
      <w:r>
        <w:instrText xml:space="preserve"> PAGEREF _Toc23008 \h </w:instrText>
      </w:r>
      <w:r>
        <w:fldChar w:fldCharType="separate"/>
      </w:r>
      <w:r>
        <w:t>9</w:t>
      </w:r>
      <w:r>
        <w:fldChar w:fldCharType="end"/>
      </w:r>
      <w:r>
        <w:fldChar w:fldCharType="end"/>
      </w:r>
    </w:p>
    <w:p>
      <w:pPr>
        <w:pStyle w:val="9"/>
        <w:tabs>
          <w:tab w:val="right" w:leader="dot" w:pos="9412"/>
        </w:tabs>
        <w:ind w:left="1120"/>
      </w:pPr>
      <w:r>
        <w:fldChar w:fldCharType="begin"/>
      </w:r>
      <w:r>
        <w:instrText xml:space="preserve"> HYPERLINK \l "_Toc19831" </w:instrText>
      </w:r>
      <w:r>
        <w:fldChar w:fldCharType="separate"/>
      </w:r>
      <w:r>
        <w:rPr>
          <w:rFonts w:hint="eastAsia" w:ascii="微软雅黑" w:hAnsi="微软雅黑" w:eastAsia="微软雅黑" w:cs="微软雅黑"/>
          <w:szCs w:val="24"/>
        </w:rPr>
        <w:t>二、评审标准</w:t>
      </w:r>
      <w:r>
        <w:tab/>
      </w:r>
      <w:r>
        <w:fldChar w:fldCharType="begin"/>
      </w:r>
      <w:r>
        <w:instrText xml:space="preserve"> PAGEREF _Toc19831 \h </w:instrText>
      </w:r>
      <w:r>
        <w:fldChar w:fldCharType="separate"/>
      </w:r>
      <w:r>
        <w:t>11</w:t>
      </w:r>
      <w:r>
        <w:fldChar w:fldCharType="end"/>
      </w:r>
      <w:r>
        <w:fldChar w:fldCharType="end"/>
      </w:r>
    </w:p>
    <w:p>
      <w:pPr>
        <w:pStyle w:val="9"/>
        <w:tabs>
          <w:tab w:val="right" w:leader="dot" w:pos="9412"/>
        </w:tabs>
        <w:ind w:left="1120"/>
      </w:pPr>
      <w:r>
        <w:fldChar w:fldCharType="begin"/>
      </w:r>
      <w:r>
        <w:instrText xml:space="preserve"> HYPERLINK \l "_Toc5289" </w:instrText>
      </w:r>
      <w:r>
        <w:fldChar w:fldCharType="separate"/>
      </w:r>
      <w:r>
        <w:rPr>
          <w:rFonts w:hint="eastAsia" w:ascii="微软雅黑" w:hAnsi="微软雅黑" w:eastAsia="微软雅黑" w:cs="微软雅黑"/>
          <w:szCs w:val="24"/>
        </w:rPr>
        <w:t>三、无效响应</w:t>
      </w:r>
      <w:r>
        <w:tab/>
      </w:r>
      <w:r>
        <w:fldChar w:fldCharType="begin"/>
      </w:r>
      <w:r>
        <w:instrText xml:space="preserve"> PAGEREF _Toc5289 \h </w:instrText>
      </w:r>
      <w:r>
        <w:fldChar w:fldCharType="separate"/>
      </w:r>
      <w:r>
        <w:t>12</w:t>
      </w:r>
      <w:r>
        <w:fldChar w:fldCharType="end"/>
      </w:r>
      <w:r>
        <w:fldChar w:fldCharType="end"/>
      </w:r>
    </w:p>
    <w:p>
      <w:pPr>
        <w:pStyle w:val="9"/>
        <w:tabs>
          <w:tab w:val="right" w:leader="dot" w:pos="9412"/>
        </w:tabs>
        <w:ind w:left="1120"/>
      </w:pPr>
      <w:r>
        <w:fldChar w:fldCharType="begin"/>
      </w:r>
      <w:r>
        <w:instrText xml:space="preserve"> HYPERLINK \l "_Toc17951" </w:instrText>
      </w:r>
      <w:r>
        <w:fldChar w:fldCharType="separate"/>
      </w:r>
      <w:r>
        <w:rPr>
          <w:rFonts w:hint="eastAsia" w:ascii="微软雅黑" w:hAnsi="微软雅黑" w:eastAsia="微软雅黑" w:cs="微软雅黑"/>
          <w:szCs w:val="24"/>
        </w:rPr>
        <w:t>四、采购终止</w:t>
      </w:r>
      <w:r>
        <w:tab/>
      </w:r>
      <w:r>
        <w:fldChar w:fldCharType="begin"/>
      </w:r>
      <w:r>
        <w:instrText xml:space="preserve"> PAGEREF _Toc17951 \h </w:instrText>
      </w:r>
      <w:r>
        <w:fldChar w:fldCharType="separate"/>
      </w:r>
      <w:r>
        <w:t>13</w:t>
      </w:r>
      <w:r>
        <w:fldChar w:fldCharType="end"/>
      </w:r>
      <w:r>
        <w:fldChar w:fldCharType="end"/>
      </w:r>
    </w:p>
    <w:p>
      <w:pPr>
        <w:pStyle w:val="15"/>
        <w:tabs>
          <w:tab w:val="right" w:leader="dot" w:pos="9412"/>
        </w:tabs>
        <w:ind w:left="560"/>
      </w:pPr>
      <w:r>
        <w:fldChar w:fldCharType="begin"/>
      </w:r>
      <w:r>
        <w:instrText xml:space="preserve"> HYPERLINK \l "_Toc5577" </w:instrText>
      </w:r>
      <w:r>
        <w:fldChar w:fldCharType="separate"/>
      </w:r>
      <w:r>
        <w:rPr>
          <w:rFonts w:hint="eastAsia" w:ascii="微软雅黑" w:hAnsi="微软雅黑" w:eastAsia="微软雅黑" w:cs="微软雅黑"/>
          <w:szCs w:val="30"/>
        </w:rPr>
        <w:t>第五篇  供应商须知</w:t>
      </w:r>
      <w:r>
        <w:tab/>
      </w:r>
      <w:r>
        <w:fldChar w:fldCharType="begin"/>
      </w:r>
      <w:r>
        <w:instrText xml:space="preserve"> PAGEREF _Toc5577 \h </w:instrText>
      </w:r>
      <w:r>
        <w:fldChar w:fldCharType="separate"/>
      </w:r>
      <w:r>
        <w:t>14</w:t>
      </w:r>
      <w:r>
        <w:fldChar w:fldCharType="end"/>
      </w:r>
      <w:r>
        <w:fldChar w:fldCharType="end"/>
      </w:r>
    </w:p>
    <w:p>
      <w:pPr>
        <w:pStyle w:val="9"/>
        <w:tabs>
          <w:tab w:val="right" w:leader="dot" w:pos="9412"/>
        </w:tabs>
        <w:ind w:left="1120"/>
      </w:pPr>
      <w:r>
        <w:fldChar w:fldCharType="begin"/>
      </w:r>
      <w:r>
        <w:instrText xml:space="preserve"> HYPERLINK \l "_Toc20251" </w:instrText>
      </w:r>
      <w:r>
        <w:fldChar w:fldCharType="separate"/>
      </w:r>
      <w:r>
        <w:rPr>
          <w:rFonts w:hint="eastAsia" w:ascii="微软雅黑" w:hAnsi="微软雅黑" w:eastAsia="微软雅黑" w:cs="微软雅黑"/>
          <w:szCs w:val="24"/>
        </w:rPr>
        <w:t>一、比选费用</w:t>
      </w:r>
      <w:r>
        <w:tab/>
      </w:r>
      <w:r>
        <w:fldChar w:fldCharType="begin"/>
      </w:r>
      <w:r>
        <w:instrText xml:space="preserve"> PAGEREF _Toc20251 \h </w:instrText>
      </w:r>
      <w:r>
        <w:fldChar w:fldCharType="separate"/>
      </w:r>
      <w:r>
        <w:t>14</w:t>
      </w:r>
      <w:r>
        <w:fldChar w:fldCharType="end"/>
      </w:r>
      <w:r>
        <w:fldChar w:fldCharType="end"/>
      </w:r>
    </w:p>
    <w:p>
      <w:pPr>
        <w:pStyle w:val="9"/>
        <w:tabs>
          <w:tab w:val="right" w:leader="dot" w:pos="9412"/>
        </w:tabs>
        <w:ind w:left="1120"/>
      </w:pPr>
      <w:r>
        <w:fldChar w:fldCharType="begin"/>
      </w:r>
      <w:r>
        <w:instrText xml:space="preserve"> HYPERLINK \l "_Toc27873" </w:instrText>
      </w:r>
      <w:r>
        <w:fldChar w:fldCharType="separate"/>
      </w:r>
      <w:r>
        <w:rPr>
          <w:rFonts w:hint="eastAsia" w:ascii="微软雅黑" w:hAnsi="微软雅黑" w:eastAsia="微软雅黑" w:cs="微软雅黑"/>
          <w:szCs w:val="24"/>
        </w:rPr>
        <w:t>二、竞争性比选文件</w:t>
      </w:r>
      <w:r>
        <w:tab/>
      </w:r>
      <w:r>
        <w:fldChar w:fldCharType="begin"/>
      </w:r>
      <w:r>
        <w:instrText xml:space="preserve"> PAGEREF _Toc27873 \h </w:instrText>
      </w:r>
      <w:r>
        <w:fldChar w:fldCharType="separate"/>
      </w:r>
      <w:r>
        <w:t>14</w:t>
      </w:r>
      <w:r>
        <w:fldChar w:fldCharType="end"/>
      </w:r>
      <w:r>
        <w:fldChar w:fldCharType="end"/>
      </w:r>
    </w:p>
    <w:p>
      <w:pPr>
        <w:pStyle w:val="9"/>
        <w:tabs>
          <w:tab w:val="right" w:leader="dot" w:pos="9412"/>
        </w:tabs>
        <w:ind w:left="1120"/>
      </w:pPr>
      <w:r>
        <w:fldChar w:fldCharType="begin"/>
      </w:r>
      <w:r>
        <w:instrText xml:space="preserve"> HYPERLINK \l "_Toc11848" </w:instrText>
      </w:r>
      <w:r>
        <w:fldChar w:fldCharType="separate"/>
      </w:r>
      <w:r>
        <w:rPr>
          <w:rFonts w:hint="eastAsia" w:ascii="微软雅黑" w:hAnsi="微软雅黑" w:eastAsia="微软雅黑" w:cs="微软雅黑"/>
          <w:szCs w:val="24"/>
        </w:rPr>
        <w:t>三、比选要求</w:t>
      </w:r>
      <w:r>
        <w:tab/>
      </w:r>
      <w:r>
        <w:fldChar w:fldCharType="begin"/>
      </w:r>
      <w:r>
        <w:instrText xml:space="preserve"> PAGEREF _Toc11848 \h </w:instrText>
      </w:r>
      <w:r>
        <w:fldChar w:fldCharType="separate"/>
      </w:r>
      <w:r>
        <w:t>14</w:t>
      </w:r>
      <w:r>
        <w:fldChar w:fldCharType="end"/>
      </w:r>
      <w:r>
        <w:fldChar w:fldCharType="end"/>
      </w:r>
    </w:p>
    <w:p>
      <w:pPr>
        <w:pStyle w:val="9"/>
        <w:tabs>
          <w:tab w:val="right" w:leader="dot" w:pos="9412"/>
        </w:tabs>
        <w:ind w:left="1120"/>
      </w:pPr>
      <w:r>
        <w:fldChar w:fldCharType="begin"/>
      </w:r>
      <w:r>
        <w:instrText xml:space="preserve"> HYPERLINK \l "_Toc29211" </w:instrText>
      </w:r>
      <w: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_Toc29211 \h </w:instrText>
      </w:r>
      <w:r>
        <w:fldChar w:fldCharType="separate"/>
      </w:r>
      <w:r>
        <w:t>15</w:t>
      </w:r>
      <w:r>
        <w:fldChar w:fldCharType="end"/>
      </w:r>
      <w:r>
        <w:fldChar w:fldCharType="end"/>
      </w:r>
    </w:p>
    <w:p>
      <w:pPr>
        <w:pStyle w:val="9"/>
        <w:tabs>
          <w:tab w:val="right" w:leader="dot" w:pos="9412"/>
        </w:tabs>
        <w:ind w:left="1120"/>
      </w:pPr>
      <w:r>
        <w:fldChar w:fldCharType="begin"/>
      </w:r>
      <w:r>
        <w:instrText xml:space="preserve"> HYPERLINK \l "_Toc17917" </w:instrText>
      </w:r>
      <w:r>
        <w:fldChar w:fldCharType="separate"/>
      </w:r>
      <w:r>
        <w:rPr>
          <w:rFonts w:hint="eastAsia" w:ascii="微软雅黑" w:hAnsi="微软雅黑" w:eastAsia="微软雅黑" w:cs="微软雅黑"/>
          <w:szCs w:val="24"/>
        </w:rPr>
        <w:t>五、成交通知</w:t>
      </w:r>
      <w:r>
        <w:tab/>
      </w:r>
      <w:r>
        <w:fldChar w:fldCharType="begin"/>
      </w:r>
      <w:r>
        <w:instrText xml:space="preserve"> PAGEREF _Toc17917 \h </w:instrText>
      </w:r>
      <w:r>
        <w:fldChar w:fldCharType="separate"/>
      </w:r>
      <w:r>
        <w:t>16</w:t>
      </w:r>
      <w:r>
        <w:fldChar w:fldCharType="end"/>
      </w:r>
      <w:r>
        <w:fldChar w:fldCharType="end"/>
      </w:r>
    </w:p>
    <w:p>
      <w:pPr>
        <w:pStyle w:val="9"/>
        <w:tabs>
          <w:tab w:val="right" w:leader="dot" w:pos="9412"/>
        </w:tabs>
        <w:ind w:left="1120"/>
      </w:pPr>
      <w:r>
        <w:fldChar w:fldCharType="begin"/>
      </w:r>
      <w:r>
        <w:instrText xml:space="preserve"> HYPERLINK \l "_Toc1527" </w:instrText>
      </w:r>
      <w:r>
        <w:fldChar w:fldCharType="separate"/>
      </w:r>
      <w:r>
        <w:rPr>
          <w:rFonts w:hint="eastAsia" w:ascii="微软雅黑" w:hAnsi="微软雅黑" w:eastAsia="微软雅黑" w:cs="微软雅黑"/>
          <w:szCs w:val="24"/>
        </w:rPr>
        <w:t>六、关于质疑和投诉</w:t>
      </w:r>
      <w:r>
        <w:tab/>
      </w:r>
      <w:r>
        <w:fldChar w:fldCharType="begin"/>
      </w:r>
      <w:r>
        <w:instrText xml:space="preserve"> PAGEREF _Toc1527 \h </w:instrText>
      </w:r>
      <w:r>
        <w:fldChar w:fldCharType="separate"/>
      </w:r>
      <w:r>
        <w:t>16</w:t>
      </w:r>
      <w:r>
        <w:fldChar w:fldCharType="end"/>
      </w:r>
      <w:r>
        <w:fldChar w:fldCharType="end"/>
      </w:r>
    </w:p>
    <w:p>
      <w:pPr>
        <w:pStyle w:val="9"/>
        <w:tabs>
          <w:tab w:val="right" w:leader="dot" w:pos="9412"/>
        </w:tabs>
        <w:ind w:left="1120"/>
      </w:pPr>
      <w:r>
        <w:fldChar w:fldCharType="begin"/>
      </w:r>
      <w:r>
        <w:instrText xml:space="preserve"> HYPERLINK \l "_Toc1561" </w:instrText>
      </w:r>
      <w:r>
        <w:fldChar w:fldCharType="separate"/>
      </w:r>
      <w:r>
        <w:rPr>
          <w:rFonts w:hint="eastAsia" w:ascii="微软雅黑" w:hAnsi="微软雅黑" w:eastAsia="微软雅黑" w:cs="微软雅黑"/>
          <w:szCs w:val="24"/>
        </w:rPr>
        <w:t>七、采购代理服务费</w:t>
      </w:r>
      <w:r>
        <w:tab/>
      </w:r>
      <w:r>
        <w:fldChar w:fldCharType="begin"/>
      </w:r>
      <w:r>
        <w:instrText xml:space="preserve"> PAGEREF _Toc1561 \h </w:instrText>
      </w:r>
      <w:r>
        <w:fldChar w:fldCharType="separate"/>
      </w:r>
      <w:r>
        <w:t>17</w:t>
      </w:r>
      <w:r>
        <w:fldChar w:fldCharType="end"/>
      </w:r>
      <w:r>
        <w:fldChar w:fldCharType="end"/>
      </w:r>
    </w:p>
    <w:p>
      <w:pPr>
        <w:pStyle w:val="9"/>
        <w:tabs>
          <w:tab w:val="right" w:leader="dot" w:pos="9412"/>
        </w:tabs>
        <w:ind w:left="1120"/>
      </w:pPr>
      <w:r>
        <w:fldChar w:fldCharType="begin"/>
      </w:r>
      <w:r>
        <w:instrText xml:space="preserve"> HYPERLINK \l "_Toc11441" </w:instrText>
      </w:r>
      <w:r>
        <w:fldChar w:fldCharType="separate"/>
      </w:r>
      <w:r>
        <w:rPr>
          <w:rFonts w:hint="eastAsia" w:ascii="微软雅黑" w:hAnsi="微软雅黑" w:eastAsia="微软雅黑" w:cs="微软雅黑"/>
          <w:szCs w:val="24"/>
        </w:rPr>
        <w:t>八、签订合同</w:t>
      </w:r>
      <w:r>
        <w:tab/>
      </w:r>
      <w:r>
        <w:fldChar w:fldCharType="begin"/>
      </w:r>
      <w:r>
        <w:instrText xml:space="preserve"> PAGEREF _Toc11441 \h </w:instrText>
      </w:r>
      <w:r>
        <w:fldChar w:fldCharType="separate"/>
      </w:r>
      <w:r>
        <w:t>18</w:t>
      </w:r>
      <w:r>
        <w:fldChar w:fldCharType="end"/>
      </w:r>
      <w:r>
        <w:fldChar w:fldCharType="end"/>
      </w:r>
    </w:p>
    <w:p>
      <w:pPr>
        <w:pStyle w:val="15"/>
        <w:tabs>
          <w:tab w:val="right" w:leader="dot" w:pos="9412"/>
        </w:tabs>
        <w:ind w:left="560"/>
      </w:pPr>
      <w:r>
        <w:fldChar w:fldCharType="begin"/>
      </w:r>
      <w:r>
        <w:instrText xml:space="preserve"> HYPERLINK \l "_Toc20058" </w:instrText>
      </w:r>
      <w:r>
        <w:fldChar w:fldCharType="separate"/>
      </w:r>
      <w:r>
        <w:rPr>
          <w:rFonts w:hint="eastAsia" w:ascii="微软雅黑" w:hAnsi="微软雅黑" w:eastAsia="微软雅黑" w:cs="微软雅黑"/>
          <w:szCs w:val="30"/>
        </w:rPr>
        <w:t>第六篇  采购合同</w:t>
      </w:r>
      <w:r>
        <w:tab/>
      </w:r>
      <w:r>
        <w:fldChar w:fldCharType="begin"/>
      </w:r>
      <w:r>
        <w:instrText xml:space="preserve"> PAGEREF _Toc20058 \h </w:instrText>
      </w:r>
      <w:r>
        <w:fldChar w:fldCharType="separate"/>
      </w:r>
      <w:r>
        <w:t>19</w:t>
      </w:r>
      <w:r>
        <w:fldChar w:fldCharType="end"/>
      </w:r>
      <w:r>
        <w:fldChar w:fldCharType="end"/>
      </w:r>
    </w:p>
    <w:p>
      <w:pPr>
        <w:pStyle w:val="15"/>
        <w:tabs>
          <w:tab w:val="right" w:leader="dot" w:pos="9412"/>
        </w:tabs>
        <w:ind w:left="560"/>
      </w:pPr>
      <w:r>
        <w:fldChar w:fldCharType="begin"/>
      </w:r>
      <w:r>
        <w:instrText xml:space="preserve"> HYPERLINK \l "_Toc18879" </w:instrText>
      </w:r>
      <w: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_Toc18879 \h </w:instrText>
      </w:r>
      <w:r>
        <w:fldChar w:fldCharType="separate"/>
      </w:r>
      <w:r>
        <w:t>20</w:t>
      </w:r>
      <w:r>
        <w:fldChar w:fldCharType="end"/>
      </w:r>
      <w:r>
        <w:fldChar w:fldCharType="end"/>
      </w:r>
    </w:p>
    <w:p>
      <w:pPr>
        <w:pStyle w:val="9"/>
        <w:tabs>
          <w:tab w:val="right" w:leader="dot" w:pos="9412"/>
        </w:tabs>
        <w:ind w:left="1120"/>
      </w:pPr>
      <w:r>
        <w:fldChar w:fldCharType="begin"/>
      </w:r>
      <w:r>
        <w:instrText xml:space="preserve"> HYPERLINK \l "_Toc5221" </w:instrText>
      </w:r>
      <w:r>
        <w:fldChar w:fldCharType="separate"/>
      </w:r>
      <w:r>
        <w:rPr>
          <w:rFonts w:hint="eastAsia" w:ascii="微软雅黑" w:hAnsi="微软雅黑" w:eastAsia="微软雅黑" w:cs="微软雅黑"/>
          <w:szCs w:val="24"/>
        </w:rPr>
        <w:t>一、经济部分</w:t>
      </w:r>
      <w:r>
        <w:tab/>
      </w:r>
      <w:r>
        <w:fldChar w:fldCharType="begin"/>
      </w:r>
      <w:r>
        <w:instrText xml:space="preserve"> PAGEREF _Toc5221 \h </w:instrText>
      </w:r>
      <w:r>
        <w:fldChar w:fldCharType="separate"/>
      </w:r>
      <w:r>
        <w:t>21</w:t>
      </w:r>
      <w:r>
        <w:fldChar w:fldCharType="end"/>
      </w:r>
      <w:r>
        <w:fldChar w:fldCharType="end"/>
      </w:r>
    </w:p>
    <w:p>
      <w:pPr>
        <w:pStyle w:val="9"/>
        <w:tabs>
          <w:tab w:val="right" w:leader="dot" w:pos="9412"/>
        </w:tabs>
        <w:ind w:left="1120"/>
      </w:pPr>
      <w:r>
        <w:fldChar w:fldCharType="begin"/>
      </w:r>
      <w:r>
        <w:instrText xml:space="preserve"> HYPERLINK \l "_Toc9256" </w:instrText>
      </w:r>
      <w:r>
        <w:fldChar w:fldCharType="separate"/>
      </w:r>
      <w:r>
        <w:rPr>
          <w:rFonts w:hint="eastAsia" w:ascii="微软雅黑" w:hAnsi="微软雅黑" w:eastAsia="微软雅黑" w:cs="微软雅黑"/>
          <w:szCs w:val="24"/>
        </w:rPr>
        <w:t>二、服务部分</w:t>
      </w:r>
      <w:r>
        <w:tab/>
      </w:r>
      <w:r>
        <w:fldChar w:fldCharType="begin"/>
      </w:r>
      <w:r>
        <w:instrText xml:space="preserve"> PAGEREF _Toc9256 \h </w:instrText>
      </w:r>
      <w:r>
        <w:fldChar w:fldCharType="separate"/>
      </w:r>
      <w:r>
        <w:t>23</w:t>
      </w:r>
      <w:r>
        <w:fldChar w:fldCharType="end"/>
      </w:r>
      <w:r>
        <w:fldChar w:fldCharType="end"/>
      </w:r>
    </w:p>
    <w:p>
      <w:pPr>
        <w:pStyle w:val="9"/>
        <w:tabs>
          <w:tab w:val="right" w:leader="dot" w:pos="9412"/>
        </w:tabs>
        <w:ind w:left="1120"/>
      </w:pPr>
      <w:r>
        <w:fldChar w:fldCharType="begin"/>
      </w:r>
      <w:r>
        <w:instrText xml:space="preserve"> HYPERLINK \l "_Toc29488" </w:instrText>
      </w:r>
      <w:r>
        <w:fldChar w:fldCharType="separate"/>
      </w:r>
      <w:r>
        <w:rPr>
          <w:rFonts w:hint="eastAsia" w:ascii="微软雅黑" w:hAnsi="微软雅黑" w:eastAsia="微软雅黑" w:cs="微软雅黑"/>
          <w:szCs w:val="24"/>
        </w:rPr>
        <w:t>三、商务部分</w:t>
      </w:r>
      <w:r>
        <w:tab/>
      </w:r>
      <w:r>
        <w:fldChar w:fldCharType="begin"/>
      </w:r>
      <w:r>
        <w:instrText xml:space="preserve"> PAGEREF _Toc29488 \h </w:instrText>
      </w:r>
      <w:r>
        <w:fldChar w:fldCharType="separate"/>
      </w:r>
      <w:r>
        <w:t>25</w:t>
      </w:r>
      <w:r>
        <w:fldChar w:fldCharType="end"/>
      </w:r>
      <w:r>
        <w:fldChar w:fldCharType="end"/>
      </w:r>
    </w:p>
    <w:p>
      <w:pPr>
        <w:pStyle w:val="9"/>
        <w:tabs>
          <w:tab w:val="right" w:leader="dot" w:pos="9412"/>
        </w:tabs>
        <w:ind w:left="1120"/>
      </w:pPr>
      <w:r>
        <w:fldChar w:fldCharType="begin"/>
      </w:r>
      <w:r>
        <w:instrText xml:space="preserve"> HYPERLINK \l "_Toc25296" </w:instrText>
      </w:r>
      <w:r>
        <w:fldChar w:fldCharType="separate"/>
      </w:r>
      <w:r>
        <w:rPr>
          <w:rFonts w:hint="eastAsia" w:ascii="微软雅黑" w:hAnsi="微软雅黑" w:eastAsia="微软雅黑" w:cs="微软雅黑"/>
          <w:szCs w:val="24"/>
        </w:rPr>
        <w:t>四、资格条件及其他</w:t>
      </w:r>
      <w:r>
        <w:tab/>
      </w:r>
      <w:r>
        <w:fldChar w:fldCharType="begin"/>
      </w:r>
      <w:r>
        <w:instrText xml:space="preserve"> PAGEREF _Toc25296 \h </w:instrText>
      </w:r>
      <w:r>
        <w:fldChar w:fldCharType="separate"/>
      </w:r>
      <w:r>
        <w:t>28</w:t>
      </w:r>
      <w:r>
        <w:fldChar w:fldCharType="end"/>
      </w:r>
      <w:r>
        <w:fldChar w:fldCharType="end"/>
      </w:r>
    </w:p>
    <w:p>
      <w:pPr>
        <w:pStyle w:val="9"/>
        <w:tabs>
          <w:tab w:val="right" w:leader="dot" w:pos="9412"/>
        </w:tabs>
        <w:ind w:left="1120"/>
      </w:pPr>
      <w:r>
        <w:fldChar w:fldCharType="begin"/>
      </w:r>
      <w:r>
        <w:instrText xml:space="preserve"> HYPERLINK \l "_Toc14004" </w:instrText>
      </w:r>
      <w:r>
        <w:fldChar w:fldCharType="separate"/>
      </w:r>
      <w:r>
        <w:rPr>
          <w:rFonts w:hint="eastAsia" w:ascii="微软雅黑" w:hAnsi="微软雅黑" w:eastAsia="微软雅黑" w:cs="微软雅黑"/>
          <w:szCs w:val="24"/>
        </w:rPr>
        <w:t>五、其他与项目有关的资料</w:t>
      </w:r>
      <w:r>
        <w:tab/>
      </w:r>
      <w:r>
        <w:fldChar w:fldCharType="begin"/>
      </w:r>
      <w:r>
        <w:instrText xml:space="preserve"> PAGEREF _Toc14004 \h </w:instrText>
      </w:r>
      <w:r>
        <w:fldChar w:fldCharType="separate"/>
      </w:r>
      <w:r>
        <w:t>33</w:t>
      </w:r>
      <w:r>
        <w:fldChar w:fldCharType="end"/>
      </w:r>
      <w:r>
        <w:fldChar w:fldCharType="end"/>
      </w:r>
    </w:p>
    <w:p>
      <w:pPr>
        <w:rPr>
          <w:rFonts w:ascii="微软雅黑" w:hAnsi="微软雅黑" w:eastAsia="微软雅黑" w:cs="微软雅黑"/>
          <w:szCs w:val="21"/>
        </w:rPr>
      </w:pPr>
      <w:r>
        <w:rPr>
          <w:rFonts w:hint="eastAsia" w:ascii="微软雅黑" w:hAnsi="微软雅黑" w:eastAsia="微软雅黑" w:cs="微软雅黑"/>
          <w:szCs w:val="21"/>
        </w:rPr>
        <w:fldChar w:fldCharType="end"/>
      </w: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Cs w:val="21"/>
        </w:rPr>
      </w:pPr>
    </w:p>
    <w:p/>
    <w:p>
      <w:pPr>
        <w:rPr>
          <w:rFonts w:ascii="微软雅黑" w:hAnsi="微软雅黑" w:eastAsia="微软雅黑" w:cs="微软雅黑"/>
          <w:sz w:val="36"/>
          <w:szCs w:val="30"/>
        </w:rPr>
      </w:pPr>
      <w:bookmarkStart w:id="0" w:name="_Toc11641050"/>
      <w:bookmarkStart w:id="1" w:name="_Toc54353603"/>
      <w:bookmarkStart w:id="2" w:name="_Toc12789052"/>
      <w:r>
        <w:rPr>
          <w:rFonts w:hint="eastAsia" w:ascii="微软雅黑" w:hAnsi="微软雅黑" w:eastAsia="微软雅黑" w:cs="微软雅黑"/>
          <w:sz w:val="36"/>
          <w:szCs w:val="30"/>
        </w:rPr>
        <w:br w:type="page"/>
      </w:r>
    </w:p>
    <w:p>
      <w:pPr>
        <w:pStyle w:val="4"/>
        <w:spacing w:line="360" w:lineRule="auto"/>
        <w:ind w:firstLine="0" w:firstLineChars="0"/>
        <w:jc w:val="center"/>
        <w:rPr>
          <w:rFonts w:hint="eastAsia" w:ascii="微软雅黑" w:hAnsi="微软雅黑" w:eastAsia="微软雅黑" w:cs="微软雅黑"/>
          <w:szCs w:val="30"/>
          <w:lang w:eastAsia="zh-CN"/>
        </w:rPr>
      </w:pPr>
      <w:bookmarkStart w:id="3" w:name="_Toc29354"/>
      <w:r>
        <w:rPr>
          <w:rFonts w:hint="eastAsia" w:ascii="微软雅黑" w:hAnsi="微软雅黑" w:eastAsia="微软雅黑" w:cs="微软雅黑"/>
          <w:sz w:val="36"/>
          <w:szCs w:val="30"/>
        </w:rPr>
        <w:t>第一篇  采购</w:t>
      </w:r>
      <w:bookmarkEnd w:id="0"/>
      <w:bookmarkEnd w:id="1"/>
      <w:bookmarkEnd w:id="2"/>
      <w:bookmarkEnd w:id="3"/>
      <w:r>
        <w:rPr>
          <w:rFonts w:hint="eastAsia" w:ascii="微软雅黑" w:hAnsi="微软雅黑" w:eastAsia="微软雅黑" w:cs="微软雅黑"/>
          <w:sz w:val="36"/>
          <w:szCs w:val="30"/>
          <w:lang w:eastAsia="zh-CN"/>
        </w:rPr>
        <w:t>公告</w:t>
      </w:r>
    </w:p>
    <w:p>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sz w:val="24"/>
          <w:szCs w:val="24"/>
        </w:rPr>
        <w:t>重庆市会展服务中心</w:t>
      </w:r>
      <w:r>
        <w:rPr>
          <w:rFonts w:hint="eastAsia" w:ascii="微软雅黑" w:hAnsi="微软雅黑" w:eastAsia="微软雅黑" w:cs="微软雅黑"/>
          <w:color w:val="auto"/>
          <w:sz w:val="24"/>
          <w:szCs w:val="24"/>
          <w:highlight w:val="none"/>
        </w:rPr>
        <w:t>，对</w:t>
      </w:r>
      <w:r>
        <w:rPr>
          <w:rFonts w:hint="eastAsia" w:ascii="微软雅黑" w:hAnsi="微软雅黑" w:eastAsia="微软雅黑" w:cs="微软雅黑"/>
          <w:color w:val="auto"/>
          <w:sz w:val="24"/>
          <w:szCs w:val="24"/>
          <w:highlight w:val="none"/>
          <w:u w:val="single"/>
        </w:rPr>
        <w:t>2023中国国际智能产业博览会重大项目集中签约活动策划设计及氛围营造</w:t>
      </w:r>
      <w:r>
        <w:rPr>
          <w:rFonts w:hint="eastAsia" w:ascii="微软雅黑" w:hAnsi="微软雅黑" w:eastAsia="微软雅黑" w:cs="微软雅黑"/>
          <w:color w:val="auto"/>
          <w:sz w:val="24"/>
          <w:szCs w:val="24"/>
          <w:highlight w:val="none"/>
        </w:rPr>
        <w:t>进行竞争性比选采购。欢迎有资格的供应商前来参与比选。</w:t>
      </w:r>
    </w:p>
    <w:p>
      <w:pPr>
        <w:pStyle w:val="5"/>
        <w:spacing w:before="0" w:after="0" w:line="400" w:lineRule="exact"/>
        <w:rPr>
          <w:rFonts w:ascii="微软雅黑" w:hAnsi="微软雅黑" w:eastAsia="微软雅黑" w:cs="微软雅黑"/>
          <w:color w:val="auto"/>
          <w:sz w:val="24"/>
          <w:szCs w:val="24"/>
          <w:highlight w:val="none"/>
        </w:rPr>
      </w:pPr>
      <w:bookmarkStart w:id="4" w:name="_Toc21121"/>
      <w:bookmarkStart w:id="5" w:name="_Toc313893526"/>
      <w:bookmarkStart w:id="6" w:name="_Toc317775175"/>
      <w:bookmarkStart w:id="7" w:name="_Toc54353604"/>
      <w:r>
        <w:rPr>
          <w:rFonts w:hint="eastAsia" w:ascii="微软雅黑" w:hAnsi="微软雅黑" w:eastAsia="微软雅黑" w:cs="微软雅黑"/>
          <w:color w:val="auto"/>
          <w:sz w:val="24"/>
          <w:szCs w:val="24"/>
          <w:highlight w:val="none"/>
        </w:rPr>
        <w:t>一、竞争性比选内容</w:t>
      </w:r>
      <w:bookmarkEnd w:id="4"/>
      <w:bookmarkEnd w:id="5"/>
      <w:bookmarkEnd w:id="6"/>
      <w:bookmarkEnd w:id="7"/>
    </w:p>
    <w:tbl>
      <w:tblPr>
        <w:tblStyle w:val="17"/>
        <w:tblW w:w="4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644"/>
        <w:gridCol w:w="1497"/>
        <w:gridCol w:w="149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57" w:type="pct"/>
            <w:tcBorders>
              <w:top w:val="single" w:color="auto" w:sz="4" w:space="0"/>
              <w:left w:val="single" w:color="auto" w:sz="4" w:space="0"/>
              <w:right w:val="single" w:color="auto" w:sz="4" w:space="0"/>
            </w:tcBorders>
            <w:vAlign w:val="center"/>
          </w:tcPr>
          <w:p>
            <w:pPr>
              <w:widowControl/>
              <w:spacing w:line="400" w:lineRule="exact"/>
              <w:ind w:firstLine="420" w:firstLineChars="200"/>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项目名称</w:t>
            </w:r>
          </w:p>
        </w:tc>
        <w:tc>
          <w:tcPr>
            <w:tcW w:w="996"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最高限价（万元）</w:t>
            </w:r>
          </w:p>
        </w:tc>
        <w:tc>
          <w:tcPr>
            <w:tcW w:w="907"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2"/>
                <w:highlight w:val="none"/>
              </w:rPr>
            </w:pPr>
            <w:r>
              <w:rPr>
                <w:rFonts w:hint="eastAsia" w:ascii="微软雅黑" w:hAnsi="微软雅黑" w:eastAsia="微软雅黑" w:cs="微软雅黑"/>
                <w:b/>
                <w:bCs/>
                <w:color w:val="auto"/>
                <w:kern w:val="0"/>
                <w:sz w:val="22"/>
                <w:highlight w:val="none"/>
              </w:rPr>
              <w:t>服务时间</w:t>
            </w:r>
          </w:p>
        </w:tc>
        <w:tc>
          <w:tcPr>
            <w:tcW w:w="907"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成交人数量（名）</w:t>
            </w:r>
          </w:p>
        </w:tc>
        <w:tc>
          <w:tcPr>
            <w:tcW w:w="831"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7" w:type="pct"/>
            <w:tcBorders>
              <w:top w:val="single" w:color="auto" w:sz="4" w:space="0"/>
              <w:left w:val="single" w:color="auto" w:sz="4" w:space="0"/>
              <w:right w:val="single" w:color="auto" w:sz="4" w:space="0"/>
            </w:tcBorders>
            <w:vAlign w:val="center"/>
          </w:tcPr>
          <w:p>
            <w:pPr>
              <w:widowControl/>
              <w:spacing w:line="400" w:lineRule="exact"/>
              <w:rPr>
                <w:rFonts w:ascii="微软雅黑" w:hAnsi="微软雅黑" w:eastAsia="微软雅黑" w:cs="微软雅黑"/>
                <w:color w:val="auto"/>
                <w:kern w:val="0"/>
                <w:sz w:val="21"/>
                <w:szCs w:val="24"/>
                <w:highlight w:val="none"/>
              </w:rPr>
            </w:pPr>
            <w:bookmarkStart w:id="8" w:name="_Hlk344477914"/>
            <w:r>
              <w:rPr>
                <w:rFonts w:hint="eastAsia" w:ascii="微软雅黑" w:hAnsi="微软雅黑" w:eastAsia="微软雅黑" w:cs="微软雅黑"/>
                <w:color w:val="auto"/>
                <w:kern w:val="0"/>
                <w:sz w:val="21"/>
                <w:szCs w:val="24"/>
                <w:highlight w:val="none"/>
              </w:rPr>
              <w:t>2023中国国际智能产业博览会重大项目集中签约活动策划设计及氛围营造</w:t>
            </w:r>
          </w:p>
        </w:tc>
        <w:tc>
          <w:tcPr>
            <w:tcW w:w="996"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ascii="微软雅黑" w:hAnsi="微软雅黑" w:eastAsia="微软雅黑" w:cs="微软雅黑"/>
                <w:color w:val="auto"/>
                <w:kern w:val="0"/>
                <w:sz w:val="21"/>
                <w:szCs w:val="24"/>
                <w:highlight w:val="none"/>
              </w:rPr>
              <w:t>49</w:t>
            </w:r>
          </w:p>
        </w:tc>
        <w:tc>
          <w:tcPr>
            <w:tcW w:w="907"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hint="eastAsia" w:ascii="微软雅黑" w:hAnsi="微软雅黑" w:eastAsia="微软雅黑" w:cs="微软雅黑"/>
                <w:color w:val="auto"/>
                <w:kern w:val="0"/>
                <w:sz w:val="21"/>
                <w:szCs w:val="24"/>
                <w:highlight w:val="none"/>
              </w:rPr>
              <w:t>采购人指定时间</w:t>
            </w:r>
          </w:p>
        </w:tc>
        <w:tc>
          <w:tcPr>
            <w:tcW w:w="907" w:type="pct"/>
            <w:tcBorders>
              <w:top w:val="single" w:color="auto" w:sz="4" w:space="0"/>
              <w:left w:val="single" w:color="auto" w:sz="4" w:space="0"/>
              <w:right w:val="single" w:color="auto" w:sz="4" w:space="0"/>
            </w:tcBorders>
            <w:vAlign w:val="center"/>
          </w:tcPr>
          <w:p>
            <w:pPr>
              <w:widowControl/>
              <w:spacing w:line="400" w:lineRule="exact"/>
              <w:jc w:val="center"/>
              <w:rPr>
                <w:rFonts w:ascii="微软雅黑" w:hAnsi="微软雅黑" w:eastAsia="微软雅黑" w:cs="微软雅黑"/>
                <w:color w:val="auto"/>
                <w:kern w:val="0"/>
                <w:sz w:val="21"/>
                <w:szCs w:val="24"/>
                <w:highlight w:val="none"/>
              </w:rPr>
            </w:pPr>
            <w:r>
              <w:rPr>
                <w:rFonts w:hint="eastAsia" w:ascii="微软雅黑" w:hAnsi="微软雅黑" w:eastAsia="微软雅黑" w:cs="微软雅黑"/>
                <w:color w:val="auto"/>
                <w:kern w:val="0"/>
                <w:sz w:val="21"/>
                <w:szCs w:val="24"/>
                <w:highlight w:val="none"/>
              </w:rPr>
              <w:t>1</w:t>
            </w:r>
          </w:p>
        </w:tc>
        <w:tc>
          <w:tcPr>
            <w:tcW w:w="831" w:type="pct"/>
            <w:tcBorders>
              <w:top w:val="single" w:color="auto" w:sz="4" w:space="0"/>
              <w:left w:val="single" w:color="auto" w:sz="4" w:space="0"/>
              <w:right w:val="single" w:color="auto" w:sz="4" w:space="0"/>
            </w:tcBorders>
            <w:vAlign w:val="center"/>
          </w:tcPr>
          <w:p>
            <w:pPr>
              <w:spacing w:line="400" w:lineRule="exact"/>
              <w:jc w:val="center"/>
              <w:rPr>
                <w:rFonts w:ascii="微软雅黑" w:hAnsi="微软雅黑" w:eastAsia="微软雅黑" w:cs="微软雅黑"/>
                <w:color w:val="auto"/>
                <w:kern w:val="0"/>
                <w:sz w:val="21"/>
                <w:szCs w:val="24"/>
                <w:highlight w:val="none"/>
              </w:rPr>
            </w:pPr>
          </w:p>
        </w:tc>
      </w:tr>
      <w:bookmarkEnd w:id="8"/>
    </w:tbl>
    <w:p>
      <w:pPr>
        <w:pStyle w:val="5"/>
        <w:spacing w:before="0" w:after="0" w:line="400" w:lineRule="exact"/>
        <w:rPr>
          <w:rFonts w:ascii="微软雅黑" w:hAnsi="微软雅黑" w:eastAsia="微软雅黑" w:cs="微软雅黑"/>
          <w:color w:val="auto"/>
          <w:sz w:val="24"/>
          <w:szCs w:val="24"/>
          <w:highlight w:val="none"/>
        </w:rPr>
      </w:pPr>
      <w:bookmarkStart w:id="9" w:name="_Toc25484"/>
      <w:bookmarkStart w:id="10" w:name="_Toc54353605"/>
      <w:bookmarkStart w:id="11" w:name="_Toc317775178"/>
      <w:bookmarkStart w:id="12" w:name="_Toc373860293"/>
      <w:r>
        <w:rPr>
          <w:rFonts w:hint="eastAsia" w:ascii="微软雅黑" w:hAnsi="微软雅黑" w:eastAsia="微软雅黑" w:cs="微软雅黑"/>
          <w:color w:val="auto"/>
          <w:sz w:val="24"/>
          <w:szCs w:val="24"/>
          <w:highlight w:val="none"/>
        </w:rPr>
        <w:t>二、资金来源</w:t>
      </w:r>
      <w:bookmarkEnd w:id="9"/>
      <w:bookmarkEnd w:id="10"/>
    </w:p>
    <w:p>
      <w:pPr>
        <w:spacing w:line="400" w:lineRule="exact"/>
        <w:ind w:firstLine="480" w:firstLineChars="20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业主自筹。预算金额为</w:t>
      </w:r>
      <w:r>
        <w:rPr>
          <w:rFonts w:ascii="微软雅黑" w:hAnsi="微软雅黑" w:eastAsia="微软雅黑" w:cs="微软雅黑"/>
          <w:color w:val="auto"/>
          <w:sz w:val="24"/>
          <w:szCs w:val="24"/>
          <w:highlight w:val="none"/>
        </w:rPr>
        <w:t>49</w:t>
      </w:r>
      <w:r>
        <w:rPr>
          <w:rFonts w:hint="eastAsia" w:ascii="微软雅黑" w:hAnsi="微软雅黑" w:eastAsia="微软雅黑" w:cs="微软雅黑"/>
          <w:color w:val="auto"/>
          <w:sz w:val="24"/>
          <w:szCs w:val="24"/>
          <w:highlight w:val="none"/>
        </w:rPr>
        <w:t>万元。</w:t>
      </w:r>
    </w:p>
    <w:p>
      <w:pPr>
        <w:pStyle w:val="5"/>
        <w:spacing w:before="0" w:after="0" w:line="400" w:lineRule="exact"/>
        <w:rPr>
          <w:rFonts w:ascii="微软雅黑" w:hAnsi="微软雅黑" w:eastAsia="微软雅黑" w:cs="微软雅黑"/>
          <w:sz w:val="24"/>
          <w:szCs w:val="24"/>
        </w:rPr>
      </w:pPr>
      <w:bookmarkStart w:id="13" w:name="_Toc54353606"/>
      <w:bookmarkStart w:id="14" w:name="_Toc6887"/>
      <w:r>
        <w:rPr>
          <w:rFonts w:hint="eastAsia" w:ascii="微软雅黑" w:hAnsi="微软雅黑" w:eastAsia="微软雅黑" w:cs="微软雅黑"/>
          <w:sz w:val="24"/>
          <w:szCs w:val="24"/>
        </w:rPr>
        <w:t>三、供应商资格条件</w:t>
      </w:r>
      <w:bookmarkEnd w:id="13"/>
      <w:bookmarkEnd w:id="14"/>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供应商是指向采购人提供服务或者货物的法人、其他组织或者自然人。合格的供应商应符合政府采购法第二十二条规定的基本资格条件。</w:t>
      </w:r>
    </w:p>
    <w:p>
      <w:pPr>
        <w:spacing w:line="400" w:lineRule="exact"/>
        <w:ind w:firstLine="480" w:firstLineChars="200"/>
        <w:rPr>
          <w:rFonts w:ascii="微软雅黑" w:hAnsi="微软雅黑" w:eastAsia="微软雅黑" w:cs="微软雅黑"/>
          <w:sz w:val="24"/>
          <w:szCs w:val="24"/>
        </w:rPr>
      </w:pPr>
      <w:bookmarkStart w:id="15" w:name="_Toc54353607"/>
      <w:r>
        <w:rPr>
          <w:rFonts w:hint="eastAsia" w:ascii="微软雅黑" w:hAnsi="微软雅黑" w:eastAsia="微软雅黑" w:cs="微软雅黑"/>
          <w:sz w:val="24"/>
          <w:szCs w:val="24"/>
        </w:rPr>
        <w:t>（一）基本资格条件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1.具有独立承担民事责任的能力；</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2.具有良好的商业信誉和健全的财务会计制度；</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3.具有履行合同所必需的设备和专业技术能力；</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4.有依法缴纳税收和社会保障资金的良好记录；</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5.参加政府采购活动前三年内，在经营活动中没有重大违法记录；</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6.法律、行政法规规定的其他条件。</w:t>
      </w:r>
      <w:bookmarkEnd w:id="11"/>
      <w:bookmarkEnd w:id="12"/>
      <w:bookmarkEnd w:id="15"/>
    </w:p>
    <w:p>
      <w:pPr>
        <w:spacing w:line="400" w:lineRule="exact"/>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（二）特定资格条件</w:t>
      </w:r>
    </w:p>
    <w:p>
      <w:pPr>
        <w:snapToGrid w:val="0"/>
        <w:spacing w:line="400" w:lineRule="exact"/>
        <w:ind w:firstLine="480" w:firstLineChars="200"/>
      </w:pPr>
      <w:r>
        <w:rPr>
          <w:rFonts w:hint="eastAsia" w:ascii="微软雅黑" w:hAnsi="微软雅黑" w:eastAsia="微软雅黑" w:cs="微软雅黑"/>
          <w:color w:val="000000"/>
          <w:sz w:val="24"/>
          <w:szCs w:val="24"/>
        </w:rPr>
        <w:t>无。</w:t>
      </w:r>
    </w:p>
    <w:p>
      <w:pPr>
        <w:pStyle w:val="5"/>
        <w:spacing w:before="0" w:after="0" w:line="400" w:lineRule="exact"/>
        <w:rPr>
          <w:rFonts w:ascii="微软雅黑" w:hAnsi="微软雅黑" w:eastAsia="微软雅黑" w:cs="微软雅黑"/>
          <w:sz w:val="24"/>
          <w:szCs w:val="24"/>
        </w:rPr>
      </w:pPr>
      <w:bookmarkStart w:id="16" w:name="_Toc23658"/>
      <w:bookmarkStart w:id="17" w:name="_Toc208"/>
      <w:bookmarkStart w:id="18" w:name="_Toc480466700"/>
      <w:bookmarkStart w:id="19" w:name="_Toc54353610"/>
      <w:r>
        <w:rPr>
          <w:rFonts w:hint="eastAsia" w:ascii="微软雅黑" w:hAnsi="微软雅黑" w:eastAsia="微软雅黑" w:cs="微软雅黑"/>
          <w:sz w:val="24"/>
          <w:szCs w:val="24"/>
        </w:rPr>
        <w:t>四、</w:t>
      </w:r>
      <w:bookmarkEnd w:id="16"/>
      <w:r>
        <w:rPr>
          <w:rFonts w:hint="eastAsia" w:ascii="微软雅黑" w:hAnsi="微软雅黑" w:eastAsia="微软雅黑" w:cs="微软雅黑"/>
          <w:sz w:val="24"/>
          <w:szCs w:val="24"/>
        </w:rPr>
        <w:t>竞争性比选有关说明</w:t>
      </w:r>
      <w:bookmarkEnd w:id="17"/>
      <w:r>
        <w:rPr>
          <w:rFonts w:hint="eastAsia" w:ascii="微软雅黑" w:hAnsi="微软雅黑" w:eastAsia="微软雅黑" w:cs="微软雅黑"/>
          <w:sz w:val="24"/>
          <w:szCs w:val="24"/>
        </w:rPr>
        <w:t xml:space="preserve">  </w:t>
      </w:r>
    </w:p>
    <w:p>
      <w:pPr>
        <w:spacing w:line="400" w:lineRule="exact"/>
        <w:ind w:firstLine="480" w:firstLineChars="200"/>
        <w:rPr>
          <w:rFonts w:ascii="微软雅黑" w:hAnsi="微软雅黑" w:eastAsia="微软雅黑" w:cs="微软雅黑"/>
          <w:sz w:val="24"/>
          <w:szCs w:val="24"/>
        </w:rPr>
      </w:pPr>
      <w:bookmarkStart w:id="20" w:name="_Toc373860294"/>
      <w:r>
        <w:rPr>
          <w:rFonts w:hint="eastAsia" w:ascii="微软雅黑" w:hAnsi="微软雅黑" w:eastAsia="微软雅黑" w:cs="微软雅黑"/>
          <w:sz w:val="24"/>
          <w:szCs w:val="24"/>
        </w:rPr>
        <w:t>（一）凡有意参加竞争性比选的供应商，请于公告发布之日（2023年8月25日）起至提交响应文件截止时间前，在重庆市会展服务中心官网（http://www.cqftit.cn）下载本项目竞争性比选文件以及澄清等比选前公布的所有项目资料，无论供应商下载与否，均视为已知晓所有比选实质性要求内容。</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（二）比选文件发布</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1.比选文件发</w:t>
      </w:r>
      <w:r>
        <w:rPr>
          <w:rFonts w:hint="eastAsia" w:ascii="微软雅黑" w:hAnsi="微软雅黑" w:eastAsia="微软雅黑" w:cs="微软雅黑"/>
          <w:sz w:val="24"/>
          <w:szCs w:val="24"/>
          <w:lang w:val="en-US" w:eastAsia="zh-CN"/>
        </w:rPr>
        <w:t>售</w:t>
      </w:r>
      <w:r>
        <w:rPr>
          <w:rFonts w:hint="eastAsia" w:ascii="微软雅黑" w:hAnsi="微软雅黑" w:eastAsia="微软雅黑" w:cs="微软雅黑"/>
          <w:sz w:val="24"/>
          <w:szCs w:val="24"/>
        </w:rPr>
        <w:t>期：2023年8月25日至2023年8月29日（上午9:00-下午18:00）。</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2.比选文件发布地点：重庆市会展服务中心官网（http://www.cqftit.cn）。</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3.竞争性比选文件售价：人民币300元/份（售后不退）。</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3.1竞争性比选文件购买方式</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在报名和竞争性磋商文件发售期内，供应商将《采购文件发售登记表》（加盖供应商公章）并把原件拿到采购代理机构处现场报名并缴纳磋商文件报名费。</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（四）供应商须满足以下三种要件，其响应文件才被接受：</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1.按时递交了响应文件；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2.按时签到。</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3.在报名和竞争性比选文件发售期内购买了竞争性比选文件的供应商，其报名才被接收。</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（五）递交响应文件地点：重庆市渝北区财富金融中心FFC大楼6楼606。</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（六）响应文件递交开始时间：2023年8月31日北京时间09:30。</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（七）响应文件递交截止时间：2023年8月31日北京时间10:00（超过递交截止时间递交的响应文件我单位恕不接受）。</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（八）响应文件开启时间：2023年8月31日北京时间10:00。</w:t>
      </w:r>
    </w:p>
    <w:p>
      <w:pPr>
        <w:spacing w:line="4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（九）比选地点：重庆市渝北区财富金融中心FFC大楼4楼403。</w:t>
      </w:r>
      <w:bookmarkEnd w:id="20"/>
    </w:p>
    <w:p>
      <w:pPr>
        <w:pStyle w:val="5"/>
        <w:spacing w:before="0" w:after="0" w:line="400" w:lineRule="exact"/>
        <w:rPr>
          <w:rFonts w:ascii="微软雅黑" w:hAnsi="微软雅黑" w:eastAsia="微软雅黑" w:cs="微软雅黑"/>
          <w:sz w:val="24"/>
          <w:szCs w:val="24"/>
        </w:rPr>
      </w:pPr>
      <w:bookmarkStart w:id="21" w:name="_Toc5364"/>
      <w:bookmarkStart w:id="22" w:name="_Toc2258"/>
      <w:bookmarkStart w:id="23" w:name="_Toc480466699"/>
      <w:r>
        <w:rPr>
          <w:rFonts w:hint="eastAsia" w:ascii="微软雅黑" w:hAnsi="微软雅黑" w:eastAsia="微软雅黑" w:cs="微软雅黑"/>
          <w:sz w:val="24"/>
          <w:szCs w:val="24"/>
        </w:rPr>
        <w:t>五、投标保证金</w:t>
      </w:r>
      <w:bookmarkEnd w:id="21"/>
      <w:bookmarkEnd w:id="22"/>
    </w:p>
    <w:p>
      <w:pPr>
        <w:pStyle w:val="5"/>
        <w:spacing w:before="0" w:after="0" w:line="400" w:lineRule="exact"/>
        <w:ind w:firstLine="720" w:firstLineChars="300"/>
        <w:rPr>
          <w:rFonts w:ascii="微软雅黑" w:hAnsi="微软雅黑" w:eastAsia="微软雅黑" w:cs="微软雅黑"/>
          <w:sz w:val="24"/>
          <w:szCs w:val="24"/>
        </w:rPr>
      </w:pPr>
      <w:bookmarkStart w:id="24" w:name="_Toc27269"/>
      <w:bookmarkStart w:id="25" w:name="_Toc7218"/>
      <w:r>
        <w:rPr>
          <w:rFonts w:hint="eastAsia" w:ascii="微软雅黑" w:hAnsi="微软雅黑" w:eastAsia="微软雅黑" w:cs="微软雅黑"/>
          <w:sz w:val="24"/>
          <w:szCs w:val="24"/>
        </w:rPr>
        <w:t>无</w:t>
      </w:r>
      <w:bookmarkEnd w:id="24"/>
    </w:p>
    <w:p>
      <w:pPr>
        <w:pStyle w:val="5"/>
        <w:spacing w:before="0" w:after="0" w:line="400" w:lineRule="exact"/>
        <w:rPr>
          <w:rFonts w:ascii="微软雅黑" w:hAnsi="微软雅黑" w:eastAsia="微软雅黑" w:cs="微软雅黑"/>
          <w:sz w:val="24"/>
          <w:szCs w:val="24"/>
        </w:rPr>
      </w:pPr>
      <w:bookmarkStart w:id="26" w:name="_Toc9074"/>
      <w:r>
        <w:rPr>
          <w:rFonts w:hint="eastAsia" w:ascii="微软雅黑" w:hAnsi="微软雅黑" w:eastAsia="微软雅黑" w:cs="微软雅黑"/>
          <w:sz w:val="24"/>
          <w:szCs w:val="24"/>
        </w:rPr>
        <w:t>六、竞争性比选其它有关规定</w:t>
      </w:r>
      <w:bookmarkEnd w:id="23"/>
      <w:bookmarkEnd w:id="25"/>
      <w:bookmarkEnd w:id="26"/>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（一）单位负责人为同一人或者存在直接控股、管理关系的不同供应商，不得参加同一合同项（分包）下的采购活动，否则均为无效响应。</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（二）为采购项目提供整体设计、规范编制或者项目管理、监理、检测等服务的供应商，不得再参加该采购项目的其他采购活动。</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（三）本项目的补遗文件（如果有）一律在重庆市会展服务中心网站上发布，请各供应商注意下载；无论供应商下载或领取与否，均视同供应商已知晓本项目补遗文件（如果有）的内容。</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（四）超过响应文件截止时间递交的响应文件，恕不接收。</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（五）比选费用：无论比选结果如何，供应商参与本项目比选的所有费用均应由供应商自行承担。</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（六）本项目不接受联合体参与比选。</w:t>
      </w:r>
    </w:p>
    <w:p>
      <w:pPr>
        <w:pStyle w:val="5"/>
        <w:spacing w:before="0" w:after="0" w:line="400" w:lineRule="exact"/>
        <w:rPr>
          <w:rFonts w:ascii="微软雅黑" w:hAnsi="微软雅黑" w:eastAsia="微软雅黑" w:cs="微软雅黑"/>
          <w:sz w:val="24"/>
          <w:szCs w:val="24"/>
        </w:rPr>
      </w:pPr>
      <w:bookmarkStart w:id="27" w:name="_Toc15629"/>
      <w:r>
        <w:rPr>
          <w:rFonts w:hint="eastAsia" w:ascii="微软雅黑" w:hAnsi="微软雅黑" w:eastAsia="微软雅黑" w:cs="微软雅黑"/>
          <w:sz w:val="24"/>
          <w:szCs w:val="24"/>
        </w:rPr>
        <w:t>七、联系方式</w:t>
      </w:r>
      <w:bookmarkEnd w:id="18"/>
      <w:bookmarkEnd w:id="19"/>
      <w:bookmarkEnd w:id="27"/>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（一）采购人：重庆市会展服务中心</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联系人：游老师</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电  话：18084088877</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地  址：重庆市江北区建新北路65号外经贸大厦</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（二）采购代理机构：重庆杨川建筑工程咨询有限公司</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联系人：沈老师</w:t>
      </w:r>
    </w:p>
    <w:p>
      <w:pPr>
        <w:snapToGrid w:val="0"/>
        <w:spacing w:line="420" w:lineRule="exact"/>
        <w:ind w:firstLine="120" w:firstLineChars="50"/>
        <w:rPr>
          <w:rFonts w:ascii="微软雅黑" w:hAnsi="微软雅黑" w:eastAsia="微软雅黑" w:cs="微软雅黑"/>
          <w:sz w:val="24"/>
          <w:szCs w:val="24"/>
        </w:rPr>
      </w:pPr>
      <w:r>
        <w:rPr>
          <w:rFonts w:hint="eastAsia" w:ascii="微软雅黑" w:hAnsi="微软雅黑" w:eastAsia="微软雅黑" w:cs="微软雅黑"/>
          <w:sz w:val="24"/>
          <w:szCs w:val="24"/>
        </w:rPr>
        <w:t>电  话：023-88166383（15223197845）</w:t>
      </w:r>
    </w:p>
    <w:p>
      <w:pPr>
        <w:snapToGrid w:val="0"/>
        <w:spacing w:line="420" w:lineRule="exact"/>
        <w:ind w:firstLine="120" w:firstLineChars="50"/>
        <w:jc w:val="left"/>
        <w:rPr>
          <w:rFonts w:ascii="微软雅黑" w:hAnsi="微软雅黑" w:eastAsia="微软雅黑" w:cs="微软雅黑"/>
          <w:sz w:val="24"/>
          <w:szCs w:val="24"/>
        </w:rPr>
      </w:pPr>
      <w:r>
        <w:rPr>
          <w:rFonts w:hint="eastAsia" w:ascii="微软雅黑" w:hAnsi="微软雅黑" w:eastAsia="微软雅黑" w:cs="微软雅黑"/>
          <w:sz w:val="24"/>
          <w:szCs w:val="24"/>
        </w:rPr>
        <w:t>传  真：023-88166360</w:t>
      </w:r>
    </w:p>
    <w:p>
      <w:pPr>
        <w:snapToGrid w:val="0"/>
        <w:spacing w:line="420" w:lineRule="exact"/>
        <w:ind w:firstLine="120" w:firstLineChars="50"/>
        <w:jc w:val="left"/>
        <w:rPr>
          <w:rFonts w:ascii="微软雅黑" w:hAnsi="微软雅黑" w:eastAsia="微软雅黑" w:cs="微软雅黑"/>
          <w:sz w:val="24"/>
          <w:szCs w:val="24"/>
        </w:rPr>
      </w:pPr>
      <w:r>
        <w:rPr>
          <w:rFonts w:hint="eastAsia" w:ascii="微软雅黑" w:hAnsi="微软雅黑" w:eastAsia="微软雅黑" w:cs="微软雅黑"/>
          <w:sz w:val="24"/>
          <w:szCs w:val="24"/>
        </w:rPr>
        <w:t>地  址：重庆市渝北区财富金融中心FFC四楼403</w:t>
      </w:r>
    </w:p>
    <w:p/>
    <w:p/>
    <w:p/>
    <w:p/>
    <w:p>
      <w:pPr>
        <w:rPr>
          <w:rFonts w:ascii="微软雅黑" w:hAnsi="微软雅黑" w:eastAsia="微软雅黑" w:cs="微软雅黑"/>
          <w:sz w:val="36"/>
          <w:szCs w:val="30"/>
        </w:rPr>
      </w:pPr>
      <w:bookmarkStart w:id="28" w:name="_Toc54353611"/>
      <w:r>
        <w:rPr>
          <w:rFonts w:hint="eastAsia" w:ascii="微软雅黑" w:hAnsi="微软雅黑" w:eastAsia="微软雅黑" w:cs="微软雅黑"/>
          <w:sz w:val="36"/>
          <w:szCs w:val="30"/>
        </w:rPr>
        <w:br w:type="page"/>
      </w:r>
    </w:p>
    <w:p>
      <w:pPr>
        <w:pStyle w:val="4"/>
        <w:spacing w:before="0" w:after="0" w:line="360" w:lineRule="auto"/>
        <w:ind w:firstLine="0" w:firstLineChars="0"/>
        <w:jc w:val="center"/>
        <w:rPr>
          <w:rFonts w:ascii="微软雅黑" w:hAnsi="微软雅黑" w:eastAsia="微软雅黑" w:cs="微软雅黑"/>
          <w:color w:val="auto"/>
          <w:sz w:val="30"/>
          <w:szCs w:val="30"/>
          <w:highlight w:val="none"/>
        </w:rPr>
      </w:pPr>
      <w:bookmarkStart w:id="29" w:name="_Toc18377"/>
      <w:r>
        <w:rPr>
          <w:rFonts w:hint="eastAsia" w:ascii="微软雅黑" w:hAnsi="微软雅黑" w:eastAsia="微软雅黑" w:cs="微软雅黑"/>
          <w:color w:val="auto"/>
          <w:sz w:val="36"/>
          <w:szCs w:val="30"/>
          <w:highlight w:val="none"/>
        </w:rPr>
        <w:t>第二篇  项目服务需求</w:t>
      </w:r>
      <w:bookmarkEnd w:id="28"/>
      <w:bookmarkEnd w:id="29"/>
    </w:p>
    <w:p>
      <w:pPr>
        <w:spacing w:line="400" w:lineRule="exact"/>
        <w:ind w:firstLine="480" w:firstLineChars="200"/>
        <w:rPr>
          <w:rFonts w:ascii="微软雅黑" w:hAnsi="微软雅黑" w:eastAsia="微软雅黑" w:cs="微软雅黑"/>
          <w:b/>
          <w:bCs/>
          <w:color w:val="auto"/>
          <w:sz w:val="24"/>
          <w:szCs w:val="24"/>
          <w:highlight w:val="none"/>
        </w:rPr>
      </w:pPr>
      <w:bookmarkStart w:id="30" w:name="_Toc54353612"/>
      <w:r>
        <w:rPr>
          <w:rFonts w:hint="eastAsia" w:ascii="微软雅黑" w:hAnsi="微软雅黑" w:eastAsia="微软雅黑" w:cs="微软雅黑"/>
          <w:b/>
          <w:bCs/>
          <w:color w:val="auto"/>
          <w:sz w:val="24"/>
          <w:szCs w:val="24"/>
          <w:highlight w:val="none"/>
        </w:rPr>
        <w:t>一、项目基本概况介绍</w:t>
      </w:r>
      <w:bookmarkEnd w:id="30"/>
    </w:p>
    <w:p>
      <w:pPr>
        <w:widowControl/>
        <w:ind w:firstLine="480" w:firstLineChars="200"/>
        <w:jc w:val="left"/>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2023中国国际智能产业博览会（以下简称“智博会”）将于9月4日—6日举办。按照智博会承委办分工要求，智博会招商签约相关工作，主要为招商签约活动方案拟定和组织实施、往届智博会签约成果展示、有关部门推介三个方面。</w:t>
      </w:r>
    </w:p>
    <w:p>
      <w:pPr>
        <w:spacing w:line="400" w:lineRule="exact"/>
        <w:ind w:firstLine="480" w:firstLineChars="200"/>
        <w:rPr>
          <w:color w:val="auto"/>
          <w:highlight w:val="none"/>
        </w:rPr>
      </w:pPr>
      <w:bookmarkStart w:id="31" w:name="_Toc29247"/>
      <w:bookmarkStart w:id="32" w:name="_Toc54353614"/>
      <w:r>
        <w:rPr>
          <w:rFonts w:hint="eastAsia" w:ascii="微软雅黑" w:hAnsi="微软雅黑" w:eastAsia="微软雅黑" w:cs="微软雅黑"/>
          <w:b/>
          <w:bCs/>
          <w:color w:val="auto"/>
          <w:sz w:val="24"/>
          <w:szCs w:val="24"/>
          <w:highlight w:val="none"/>
        </w:rPr>
        <w:t>二、服务范围、要求及标准</w:t>
      </w:r>
      <w:bookmarkEnd w:id="31"/>
    </w:p>
    <w:p>
      <w:pPr>
        <w:widowControl/>
        <w:ind w:firstLine="480" w:firstLineChars="200"/>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1.设计与制作（以采购人最终确定的设计风格为准）</w:t>
      </w:r>
    </w:p>
    <w:p>
      <w:pPr>
        <w:widowControl/>
        <w:ind w:firstLine="480" w:firstLineChars="200"/>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1.1负责</w:t>
      </w:r>
      <w:r>
        <w:rPr>
          <w:rFonts w:hint="eastAsia" w:ascii="微软雅黑" w:hAnsi="微软雅黑" w:eastAsia="微软雅黑" w:cs="微软雅黑"/>
          <w:color w:val="auto"/>
          <w:sz w:val="24"/>
          <w:szCs w:val="24"/>
          <w:highlight w:val="none"/>
        </w:rPr>
        <w:t>签约活动的主</w:t>
      </w:r>
      <w:r>
        <w:rPr>
          <w:rFonts w:ascii="微软雅黑" w:hAnsi="微软雅黑" w:eastAsia="微软雅黑" w:cs="微软雅黑"/>
          <w:color w:val="auto"/>
          <w:sz w:val="24"/>
          <w:szCs w:val="24"/>
          <w:highlight w:val="none"/>
        </w:rPr>
        <w:t>k设计、</w:t>
      </w:r>
      <w:r>
        <w:rPr>
          <w:rFonts w:hint="eastAsia" w:ascii="微软雅黑" w:hAnsi="微软雅黑" w:eastAsia="微软雅黑" w:cs="微软雅黑"/>
          <w:color w:val="auto"/>
          <w:sz w:val="24"/>
          <w:szCs w:val="24"/>
          <w:highlight w:val="none"/>
        </w:rPr>
        <w:t>流程画面设计、会场及舞台设计、氛围营造及延展物料的相关平面和</w:t>
      </w:r>
      <w:r>
        <w:rPr>
          <w:rFonts w:ascii="微软雅黑" w:hAnsi="微软雅黑" w:eastAsia="微软雅黑" w:cs="微软雅黑"/>
          <w:color w:val="auto"/>
          <w:sz w:val="24"/>
          <w:szCs w:val="24"/>
          <w:highlight w:val="none"/>
        </w:rPr>
        <w:t>3D设计，提供完整的设计方案（</w:t>
      </w:r>
      <w:r>
        <w:rPr>
          <w:rFonts w:hint="eastAsia" w:ascii="微软雅黑" w:hAnsi="微软雅黑" w:eastAsia="微软雅黑" w:cs="微软雅黑"/>
          <w:color w:val="auto"/>
          <w:sz w:val="24"/>
          <w:szCs w:val="24"/>
          <w:highlight w:val="none"/>
        </w:rPr>
        <w:t>含相关场地和物料的效果图）；</w:t>
      </w:r>
    </w:p>
    <w:p>
      <w:pPr>
        <w:widowControl/>
        <w:ind w:firstLine="480" w:firstLineChars="200"/>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1.2负责签约活动</w:t>
      </w:r>
      <w:r>
        <w:rPr>
          <w:rFonts w:hint="eastAsia" w:ascii="微软雅黑" w:hAnsi="微软雅黑" w:eastAsia="微软雅黑" w:cs="微软雅黑"/>
          <w:color w:val="auto"/>
          <w:sz w:val="24"/>
          <w:szCs w:val="24"/>
          <w:highlight w:val="none"/>
        </w:rPr>
        <w:t>现场会务物料的制作、采购和运输。</w:t>
      </w:r>
    </w:p>
    <w:p>
      <w:pPr>
        <w:widowControl/>
        <w:ind w:firstLine="480" w:firstLineChars="200"/>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2.氛围营造</w:t>
      </w:r>
    </w:p>
    <w:p>
      <w:pPr>
        <w:widowControl/>
        <w:ind w:firstLine="480" w:firstLineChars="200"/>
        <w:jc w:val="left"/>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2.1负责会场主入口及户外氛围营造整体方案</w:t>
      </w:r>
      <w:r>
        <w:rPr>
          <w:rFonts w:hint="eastAsia" w:ascii="微软雅黑" w:hAnsi="微软雅黑" w:eastAsia="微软雅黑" w:cs="微软雅黑"/>
          <w:color w:val="auto"/>
          <w:sz w:val="24"/>
          <w:szCs w:val="24"/>
          <w:highlight w:val="none"/>
        </w:rPr>
        <w:t>设计及实施，包括但不限于导视装置、合影墙、座次展示、成果展示等；</w:t>
      </w:r>
    </w:p>
    <w:p>
      <w:pPr>
        <w:ind w:firstLine="480" w:firstLineChars="200"/>
        <w:rPr>
          <w:rFonts w:ascii="微软雅黑" w:hAnsi="微软雅黑" w:eastAsia="微软雅黑" w:cs="微软雅黑"/>
          <w:color w:val="auto"/>
          <w:sz w:val="24"/>
          <w:szCs w:val="24"/>
          <w:highlight w:val="none"/>
        </w:rPr>
      </w:pPr>
      <w:r>
        <w:rPr>
          <w:rFonts w:ascii="微软雅黑" w:hAnsi="微软雅黑" w:eastAsia="微软雅黑" w:cs="微软雅黑"/>
          <w:color w:val="auto"/>
          <w:sz w:val="24"/>
          <w:szCs w:val="24"/>
          <w:highlight w:val="none"/>
        </w:rPr>
        <w:t xml:space="preserve">2.2负责会场主入口及户外氛围搭建及拆除工作； </w:t>
      </w:r>
    </w:p>
    <w:p>
      <w:pPr>
        <w:ind w:firstLine="480" w:firstLineChars="200"/>
        <w:rPr>
          <w:color w:val="auto"/>
          <w:highlight w:val="none"/>
        </w:rPr>
      </w:pPr>
      <w:r>
        <w:rPr>
          <w:rFonts w:ascii="微软雅黑" w:hAnsi="微软雅黑" w:eastAsia="微软雅黑" w:cs="微软雅黑"/>
          <w:color w:val="auto"/>
          <w:sz w:val="24"/>
          <w:szCs w:val="24"/>
          <w:highlight w:val="none"/>
        </w:rPr>
        <w:t>2.3负责相关设备的保障与维护</w:t>
      </w:r>
      <w:r>
        <w:rPr>
          <w:rFonts w:hint="eastAsia" w:ascii="微软雅黑" w:hAnsi="微软雅黑" w:eastAsia="微软雅黑" w:cs="微软雅黑"/>
          <w:color w:val="auto"/>
          <w:sz w:val="24"/>
          <w:szCs w:val="24"/>
          <w:highlight w:val="none"/>
        </w:rPr>
        <w:t>。</w:t>
      </w:r>
    </w:p>
    <w:p>
      <w:pPr>
        <w:rPr>
          <w:rFonts w:ascii="微软雅黑" w:hAnsi="微软雅黑" w:eastAsia="微软雅黑" w:cs="微软雅黑"/>
          <w:color w:val="auto"/>
          <w:sz w:val="36"/>
          <w:szCs w:val="30"/>
          <w:highlight w:val="none"/>
        </w:rPr>
      </w:pPr>
      <w:r>
        <w:rPr>
          <w:rFonts w:hint="eastAsia" w:ascii="微软雅黑" w:hAnsi="微软雅黑" w:eastAsia="微软雅黑" w:cs="微软雅黑"/>
          <w:color w:val="auto"/>
          <w:sz w:val="36"/>
          <w:szCs w:val="30"/>
          <w:highlight w:val="none"/>
        </w:rPr>
        <w:br w:type="page"/>
      </w:r>
    </w:p>
    <w:p>
      <w:pPr>
        <w:pStyle w:val="4"/>
        <w:spacing w:before="0" w:after="0" w:line="360" w:lineRule="auto"/>
        <w:ind w:firstLine="0" w:firstLineChars="0"/>
        <w:jc w:val="center"/>
        <w:rPr>
          <w:rFonts w:ascii="微软雅黑" w:hAnsi="微软雅黑" w:eastAsia="微软雅黑" w:cs="微软雅黑"/>
          <w:b/>
          <w:bCs/>
          <w:color w:val="auto"/>
          <w:sz w:val="24"/>
          <w:szCs w:val="24"/>
          <w:highlight w:val="none"/>
        </w:rPr>
      </w:pPr>
      <w:bookmarkStart w:id="33" w:name="_Toc29410"/>
      <w:r>
        <w:rPr>
          <w:rFonts w:hint="eastAsia" w:ascii="微软雅黑" w:hAnsi="微软雅黑" w:eastAsia="微软雅黑" w:cs="微软雅黑"/>
          <w:color w:val="auto"/>
          <w:sz w:val="36"/>
          <w:szCs w:val="30"/>
          <w:highlight w:val="none"/>
        </w:rPr>
        <w:t>第三篇  项目商务需求</w:t>
      </w:r>
      <w:bookmarkEnd w:id="32"/>
      <w:bookmarkEnd w:id="33"/>
      <w:bookmarkStart w:id="34" w:name="_Toc54353615"/>
      <w:bookmarkStart w:id="35" w:name="_Toc344475120"/>
    </w:p>
    <w:bookmarkEnd w:id="34"/>
    <w:bookmarkEnd w:id="35"/>
    <w:p>
      <w:pPr>
        <w:spacing w:line="500" w:lineRule="exact"/>
        <w:ind w:firstLine="482"/>
        <w:rPr>
          <w:rFonts w:ascii="微软雅黑" w:hAnsi="微软雅黑" w:eastAsia="微软雅黑" w:cs="微软雅黑"/>
          <w:b/>
          <w:bCs/>
          <w:color w:val="auto"/>
          <w:sz w:val="24"/>
          <w:szCs w:val="24"/>
          <w:highlight w:val="none"/>
        </w:rPr>
      </w:pPr>
      <w:bookmarkStart w:id="36" w:name="_Toc98836041"/>
      <w:bookmarkStart w:id="37" w:name="_Toc19223"/>
      <w:bookmarkStart w:id="38" w:name="_Toc344475121"/>
      <w:bookmarkStart w:id="39" w:name="_Toc54353616"/>
      <w:r>
        <w:rPr>
          <w:rFonts w:hint="eastAsia" w:ascii="微软雅黑" w:hAnsi="微软雅黑" w:eastAsia="微软雅黑" w:cs="微软雅黑"/>
          <w:b/>
          <w:bCs/>
          <w:color w:val="auto"/>
          <w:sz w:val="24"/>
          <w:szCs w:val="24"/>
          <w:highlight w:val="none"/>
        </w:rPr>
        <w:t>一、服务期地点及验收方式</w:t>
      </w:r>
      <w:bookmarkEnd w:id="36"/>
      <w:bookmarkEnd w:id="37"/>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（一）服务时间：采购人指定时间。</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（二）服务地点：采购人指定地点。</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（三）验收方式：由采购人按照相关规定验收。</w:t>
      </w:r>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w:t>
      </w:r>
      <w:bookmarkEnd w:id="38"/>
      <w:r>
        <w:rPr>
          <w:rFonts w:hint="eastAsia" w:ascii="微软雅黑" w:hAnsi="微软雅黑" w:eastAsia="微软雅黑" w:cs="微软雅黑"/>
          <w:b/>
          <w:bCs/>
          <w:color w:val="auto"/>
          <w:sz w:val="24"/>
          <w:szCs w:val="24"/>
          <w:highlight w:val="none"/>
        </w:rPr>
        <w:t>报价要求</w:t>
      </w:r>
      <w:bookmarkEnd w:id="39"/>
    </w:p>
    <w:p>
      <w:pPr>
        <w:spacing w:line="500" w:lineRule="exact"/>
        <w:ind w:firstLine="482"/>
        <w:rPr>
          <w:rFonts w:ascii="微软雅黑" w:hAnsi="微软雅黑" w:eastAsia="微软雅黑" w:cs="微软雅黑"/>
          <w:color w:val="auto"/>
          <w:sz w:val="24"/>
          <w:szCs w:val="24"/>
          <w:highlight w:val="none"/>
        </w:rPr>
      </w:pPr>
      <w:bookmarkStart w:id="40" w:name="_Toc54353617"/>
      <w:r>
        <w:rPr>
          <w:rFonts w:hint="eastAsia" w:ascii="微软雅黑" w:hAnsi="微软雅黑" w:eastAsia="微软雅黑" w:cs="微软雅黑"/>
          <w:color w:val="auto"/>
          <w:sz w:val="24"/>
          <w:szCs w:val="24"/>
          <w:highlight w:val="none"/>
        </w:rPr>
        <w:t>本次比选报价为人民币报价，报价为供应商对比选文件所确定的全部工作内容包干价，包含：人工费、通讯费、交通费、税费、辅助材料费、机械费等履行完本项目的所有费用。采购人除此外不支付其他费用，因供应商自身原因造成漏报、少报皆由供应商自行承担，采购人不再补偿。</w:t>
      </w:r>
    </w:p>
    <w:bookmarkEnd w:id="40"/>
    <w:p>
      <w:pPr>
        <w:spacing w:line="500" w:lineRule="exact"/>
        <w:ind w:firstLine="482"/>
        <w:rPr>
          <w:rFonts w:ascii="微软雅黑" w:hAnsi="微软雅黑" w:eastAsia="微软雅黑" w:cs="微软雅黑"/>
          <w:b/>
          <w:bCs/>
          <w:color w:val="auto"/>
          <w:sz w:val="24"/>
          <w:szCs w:val="24"/>
          <w:highlight w:val="none"/>
        </w:rPr>
      </w:pPr>
      <w:bookmarkStart w:id="41" w:name="_Toc54353618"/>
      <w:bookmarkStart w:id="42" w:name="_Toc344475122"/>
      <w:r>
        <w:rPr>
          <w:rFonts w:hint="eastAsia" w:ascii="微软雅黑" w:hAnsi="微软雅黑" w:eastAsia="微软雅黑" w:cs="微软雅黑"/>
          <w:b/>
          <w:bCs/>
          <w:color w:val="auto"/>
          <w:sz w:val="24"/>
          <w:szCs w:val="24"/>
          <w:highlight w:val="none"/>
        </w:rPr>
        <w:t>三、付款方式</w:t>
      </w:r>
      <w:bookmarkEnd w:id="41"/>
      <w:bookmarkEnd w:id="42"/>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1.甲方应在合同签订结束3个工作日内支付乙方50%预付款。</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2.项目完成验收通过后5个工作日内支付乙方合同金额50%。</w:t>
      </w:r>
    </w:p>
    <w:p>
      <w:pPr>
        <w:spacing w:line="500" w:lineRule="exact"/>
        <w:ind w:firstLine="482"/>
        <w:rPr>
          <w:rFonts w:ascii="微软雅黑" w:hAnsi="微软雅黑" w:eastAsia="微软雅黑" w:cs="微软雅黑"/>
          <w:b/>
          <w:bCs/>
          <w:color w:val="auto"/>
          <w:sz w:val="24"/>
          <w:szCs w:val="24"/>
          <w:highlight w:val="none"/>
        </w:rPr>
      </w:pPr>
      <w:bookmarkStart w:id="43" w:name="_Toc10123"/>
      <w:bookmarkStart w:id="44" w:name="_Toc98836044"/>
      <w:bookmarkStart w:id="45" w:name="_Toc344475123"/>
      <w:bookmarkStart w:id="46" w:name="_Toc54353619"/>
      <w:r>
        <w:rPr>
          <w:rFonts w:hint="eastAsia" w:ascii="微软雅黑" w:hAnsi="微软雅黑" w:eastAsia="微软雅黑" w:cs="微软雅黑"/>
          <w:b/>
          <w:bCs/>
          <w:color w:val="auto"/>
          <w:sz w:val="24"/>
          <w:szCs w:val="24"/>
          <w:highlight w:val="none"/>
        </w:rPr>
        <w:t>四、保密要求</w:t>
      </w:r>
      <w:bookmarkEnd w:id="43"/>
      <w:bookmarkEnd w:id="44"/>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成交供应商及其参与本项目的所有相关人员，应对服务期内涉及的所有内容保密。</w:t>
      </w:r>
    </w:p>
    <w:p>
      <w:pPr>
        <w:spacing w:line="500" w:lineRule="exact"/>
        <w:ind w:firstLine="482"/>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五、知识产权</w:t>
      </w:r>
      <w:bookmarkEnd w:id="45"/>
      <w:bookmarkEnd w:id="46"/>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注：（若涉及软件开发等服务类项目知识产权的，知识产权归采购人所有）。</w:t>
      </w:r>
    </w:p>
    <w:p>
      <w:pPr>
        <w:spacing w:line="500" w:lineRule="exact"/>
        <w:ind w:firstLine="482"/>
        <w:rPr>
          <w:rFonts w:ascii="微软雅黑" w:hAnsi="微软雅黑" w:eastAsia="微软雅黑" w:cs="微软雅黑"/>
          <w:b/>
          <w:bCs/>
          <w:color w:val="auto"/>
          <w:sz w:val="24"/>
          <w:szCs w:val="24"/>
          <w:highlight w:val="none"/>
        </w:rPr>
      </w:pPr>
      <w:bookmarkStart w:id="47" w:name="_Toc344475124"/>
      <w:bookmarkStart w:id="48" w:name="_Toc54353620"/>
      <w:r>
        <w:rPr>
          <w:rFonts w:hint="eastAsia" w:ascii="微软雅黑" w:hAnsi="微软雅黑" w:eastAsia="微软雅黑" w:cs="微软雅黑"/>
          <w:b/>
          <w:bCs/>
          <w:color w:val="auto"/>
          <w:sz w:val="24"/>
          <w:szCs w:val="24"/>
          <w:highlight w:val="none"/>
        </w:rPr>
        <w:t>六、</w:t>
      </w:r>
      <w:bookmarkEnd w:id="47"/>
      <w:bookmarkStart w:id="49" w:name="_Toc344475125"/>
      <w:r>
        <w:rPr>
          <w:rFonts w:hint="eastAsia" w:ascii="微软雅黑" w:hAnsi="微软雅黑" w:eastAsia="微软雅黑" w:cs="微软雅黑"/>
          <w:b/>
          <w:bCs/>
          <w:color w:val="auto"/>
          <w:sz w:val="24"/>
          <w:szCs w:val="24"/>
          <w:highlight w:val="none"/>
        </w:rPr>
        <w:t>其他</w:t>
      </w:r>
      <w:bookmarkEnd w:id="48"/>
      <w:bookmarkEnd w:id="49"/>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（一）竞标人必须在响应文件中对以上条款和服务承诺明确列出，承诺内容必须达到本篇及竞争性比选文件其他条款的要求。</w:t>
      </w:r>
    </w:p>
    <w:p>
      <w:pPr>
        <w:spacing w:line="500" w:lineRule="exact"/>
        <w:ind w:firstLine="482"/>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（二）其他未尽事宜由供需双方在采购合同中详细约定。</w:t>
      </w:r>
    </w:p>
    <w:p>
      <w:pPr>
        <w:pStyle w:val="5"/>
        <w:sectPr>
          <w:footerReference r:id="rId3" w:type="default"/>
          <w:footerReference r:id="rId4" w:type="even"/>
          <w:pgSz w:w="11907" w:h="16840"/>
          <w:pgMar w:top="1134" w:right="1191" w:bottom="1134" w:left="1304" w:header="964" w:footer="992" w:gutter="0"/>
          <w:cols w:space="720" w:num="1"/>
          <w:docGrid w:linePitch="312" w:charSpace="0"/>
        </w:sectPr>
      </w:pPr>
    </w:p>
    <w:p>
      <w:pPr>
        <w:pStyle w:val="4"/>
        <w:spacing w:before="0" w:after="0" w:line="360" w:lineRule="auto"/>
        <w:ind w:firstLine="0" w:firstLineChars="0"/>
        <w:jc w:val="both"/>
        <w:rPr>
          <w:rFonts w:ascii="微软雅黑" w:hAnsi="微软雅黑" w:eastAsia="微软雅黑" w:cs="微软雅黑"/>
          <w:sz w:val="36"/>
          <w:szCs w:val="30"/>
        </w:rPr>
      </w:pPr>
      <w:bookmarkStart w:id="50" w:name="_Toc54353621"/>
      <w:bookmarkStart w:id="51" w:name="_Toc23008"/>
      <w:r>
        <w:rPr>
          <w:rFonts w:hint="eastAsia" w:ascii="微软雅黑" w:hAnsi="微软雅黑" w:eastAsia="微软雅黑" w:cs="微软雅黑"/>
          <w:sz w:val="36"/>
          <w:szCs w:val="30"/>
        </w:rPr>
        <w:t>第四篇  比选程序及方法、评审标准、无效响应和</w:t>
      </w:r>
      <w:r>
        <w:rPr>
          <w:rFonts w:hint="eastAsia" w:ascii="微软雅黑" w:hAnsi="微软雅黑" w:eastAsia="微软雅黑" w:cs="微软雅黑"/>
          <w:sz w:val="36"/>
          <w:szCs w:val="36"/>
        </w:rPr>
        <w:t>采购终止</w:t>
      </w:r>
      <w:bookmarkEnd w:id="50"/>
      <w:bookmarkEnd w:id="51"/>
    </w:p>
    <w:p>
      <w:pPr>
        <w:spacing w:line="500" w:lineRule="exact"/>
        <w:ind w:firstLine="480" w:firstLineChars="200"/>
        <w:rPr>
          <w:rFonts w:ascii="微软雅黑" w:hAnsi="微软雅黑" w:eastAsia="微软雅黑" w:cs="微软雅黑"/>
          <w:b/>
          <w:bCs/>
          <w:sz w:val="24"/>
          <w:szCs w:val="24"/>
        </w:rPr>
      </w:pPr>
      <w:bookmarkStart w:id="52" w:name="_Toc54353622"/>
      <w:r>
        <w:rPr>
          <w:rFonts w:hint="eastAsia" w:ascii="微软雅黑" w:hAnsi="微软雅黑" w:eastAsia="微软雅黑" w:cs="微软雅黑"/>
          <w:b/>
          <w:bCs/>
          <w:sz w:val="24"/>
          <w:szCs w:val="24"/>
        </w:rPr>
        <w:t>一、比选程序及方法</w:t>
      </w:r>
      <w:bookmarkEnd w:id="52"/>
    </w:p>
    <w:p>
      <w:pPr>
        <w:spacing w:line="500" w:lineRule="exact"/>
        <w:ind w:firstLine="482"/>
        <w:rPr>
          <w:rFonts w:ascii="微软雅黑" w:hAnsi="微软雅黑" w:eastAsia="微软雅黑" w:cs="微软雅黑"/>
          <w:sz w:val="24"/>
          <w:szCs w:val="24"/>
        </w:rPr>
      </w:pPr>
      <w:r>
        <w:rPr>
          <w:rFonts w:hint="eastAsia" w:ascii="微软雅黑" w:hAnsi="微软雅黑" w:eastAsia="微软雅黑" w:cs="微软雅黑"/>
          <w:sz w:val="24"/>
          <w:szCs w:val="24"/>
        </w:rPr>
        <w:t>（一）比选按竞争性比选文件规定的时间和地点进行，供应商须有法定代表人或其授权代表参加并签到。竞争性比选以供应商到达规定地点时间先后顺序确定比选顺序，由本项目依法组建的比选小组分别与各供应商进行比选。</w:t>
      </w:r>
    </w:p>
    <w:p>
      <w:pPr>
        <w:spacing w:line="500" w:lineRule="exact"/>
        <w:ind w:firstLine="482"/>
        <w:rPr>
          <w:rFonts w:ascii="微软雅黑" w:hAnsi="微软雅黑" w:eastAsia="微软雅黑" w:cs="微软雅黑"/>
          <w:sz w:val="24"/>
          <w:szCs w:val="24"/>
        </w:rPr>
      </w:pPr>
      <w:r>
        <w:rPr>
          <w:rFonts w:hint="eastAsia" w:ascii="微软雅黑" w:hAnsi="微软雅黑" w:eastAsia="微软雅黑" w:cs="微软雅黑"/>
          <w:sz w:val="24"/>
          <w:szCs w:val="24"/>
        </w:rPr>
        <w:t>（二）比选小组对各供应商的资格条件、响应文件的有效性、完整性和响应程度进行审查。各供应商只有在完全符合要求的前提下，才能参与正式比选。</w:t>
      </w:r>
    </w:p>
    <w:p>
      <w:pPr>
        <w:spacing w:line="500" w:lineRule="exact"/>
        <w:ind w:firstLine="482"/>
        <w:rPr>
          <w:rFonts w:ascii="微软雅黑" w:hAnsi="微软雅黑" w:eastAsia="微软雅黑" w:cs="微软雅黑"/>
          <w:sz w:val="24"/>
          <w:szCs w:val="24"/>
        </w:rPr>
      </w:pPr>
      <w:r>
        <w:rPr>
          <w:rFonts w:hint="eastAsia" w:ascii="微软雅黑" w:hAnsi="微软雅黑" w:eastAsia="微软雅黑" w:cs="微软雅黑"/>
          <w:sz w:val="24"/>
          <w:szCs w:val="24"/>
        </w:rPr>
        <w:t>1.资格性检查。依据法律法规和竞争性比选文件的规定，对响应文件中的资格证明、等进行审查，以确定供应商是否具备比选资格。资格性检查资料表如下：</w:t>
      </w:r>
    </w:p>
    <w:tbl>
      <w:tblPr>
        <w:tblStyle w:val="17"/>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5388" w:type="dxa"/>
            <w:gridSpan w:val="2"/>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检查因素</w:t>
            </w:r>
          </w:p>
        </w:tc>
        <w:tc>
          <w:tcPr>
            <w:tcW w:w="3831"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微软雅黑" w:hAnsi="微软雅黑" w:eastAsia="微软雅黑" w:cs="微软雅黑"/>
                <w:sz w:val="20"/>
                <w:szCs w:val="20"/>
              </w:rPr>
            </w:pPr>
            <w:r>
              <w:rPr>
                <w:rFonts w:hint="eastAsia" w:ascii="微软雅黑" w:hAnsi="微软雅黑" w:eastAsia="微软雅黑" w:cs="微软雅黑"/>
                <w:sz w:val="20"/>
                <w:szCs w:val="20"/>
              </w:rPr>
              <w:t>1</w:t>
            </w:r>
          </w:p>
        </w:tc>
        <w:tc>
          <w:tcPr>
            <w:tcW w:w="709" w:type="dxa"/>
            <w:vMerge w:val="restart"/>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供应商</w:t>
            </w:r>
            <w:r>
              <w:rPr>
                <w:rFonts w:hint="eastAsia" w:ascii="微软雅黑" w:hAnsi="微软雅黑" w:eastAsia="微软雅黑" w:cs="微软雅黑"/>
                <w:sz w:val="20"/>
                <w:szCs w:val="20"/>
                <w:lang w:val="zh-CN"/>
              </w:rPr>
              <w:t>应符合的基本资格条件</w:t>
            </w:r>
          </w:p>
        </w:tc>
        <w:tc>
          <w:tcPr>
            <w:tcW w:w="4679"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（1）具有独立承担民事责任的能力</w:t>
            </w:r>
          </w:p>
        </w:tc>
        <w:tc>
          <w:tcPr>
            <w:tcW w:w="3831"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 xml:space="preserve">供应商法人营业执照（副本）或事业单位法人证书（副本）或个体工商户营业执照或有效的自然人身份证明或社会团体法人登记证书（提供复印件）； </w:t>
            </w:r>
          </w:p>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lang w:val="zh-CN"/>
              </w:rPr>
              <w:t>（2）</w:t>
            </w:r>
            <w:r>
              <w:rPr>
                <w:rFonts w:hint="eastAsia" w:ascii="微软雅黑" w:hAnsi="微软雅黑" w:eastAsia="微软雅黑" w:cs="微软雅黑"/>
                <w:sz w:val="20"/>
                <w:szCs w:val="20"/>
              </w:rPr>
              <w:t>具有良好的商业信誉和健全的财务会计制度</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lang w:val="zh-CN"/>
              </w:rPr>
              <w:t>（3）具有履行合同所必需的设备和专业技术能力</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lang w:val="zh-CN"/>
              </w:rPr>
              <w:t>（4）有依法缴纳税收和社会保障金的良好记录</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（5）参加政府采购活动前三年内，在经营活动中没有重大违法记录（注</w:t>
            </w:r>
            <w:r>
              <w:rPr>
                <w:rFonts w:hint="eastAsia" w:ascii="微软雅黑" w:hAnsi="微软雅黑" w:eastAsia="微软雅黑" w:cs="微软雅黑"/>
                <w:kern w:val="0"/>
                <w:sz w:val="20"/>
                <w:szCs w:val="20"/>
              </w:rPr>
              <w:fldChar w:fldCharType="begin"/>
            </w:r>
            <w:r>
              <w:rPr>
                <w:rFonts w:hint="eastAsia" w:ascii="微软雅黑" w:hAnsi="微软雅黑" w:eastAsia="微软雅黑" w:cs="微软雅黑"/>
                <w:kern w:val="0"/>
                <w:sz w:val="20"/>
                <w:szCs w:val="20"/>
              </w:rPr>
              <w:instrText xml:space="preserve"> eq \o\ac(</w:instrText>
            </w:r>
            <w:r>
              <w:rPr>
                <w:rFonts w:hint="eastAsia" w:ascii="微软雅黑" w:hAnsi="微软雅黑" w:eastAsia="微软雅黑" w:cs="微软雅黑"/>
                <w:kern w:val="0"/>
                <w:position w:val="-4"/>
                <w:sz w:val="30"/>
                <w:szCs w:val="20"/>
              </w:rPr>
              <w:instrText xml:space="preserve">○</w:instrText>
            </w:r>
            <w:r>
              <w:rPr>
                <w:rFonts w:hint="eastAsia" w:ascii="微软雅黑" w:hAnsi="微软雅黑" w:eastAsia="微软雅黑" w:cs="微软雅黑"/>
                <w:kern w:val="0"/>
                <w:sz w:val="20"/>
                <w:szCs w:val="20"/>
              </w:rPr>
              <w:instrText xml:space="preserve">,2)</w:instrText>
            </w:r>
            <w:r>
              <w:rPr>
                <w:rFonts w:hint="eastAsia" w:ascii="微软雅黑" w:hAnsi="微软雅黑" w:eastAsia="微软雅黑" w:cs="微软雅黑"/>
                <w:kern w:val="0"/>
                <w:sz w:val="20"/>
                <w:szCs w:val="20"/>
              </w:rPr>
              <w:fldChar w:fldCharType="end"/>
            </w:r>
            <w:r>
              <w:rPr>
                <w:rFonts w:hint="eastAsia" w:ascii="微软雅黑" w:hAnsi="微软雅黑" w:eastAsia="微软雅黑" w:cs="微软雅黑"/>
                <w:sz w:val="20"/>
                <w:szCs w:val="20"/>
              </w:rPr>
              <w:t>）</w:t>
            </w:r>
          </w:p>
        </w:tc>
        <w:tc>
          <w:tcPr>
            <w:tcW w:w="3831" w:type="dxa"/>
            <w:vAlign w:val="center"/>
          </w:tcPr>
          <w:p>
            <w:pPr>
              <w:rPr>
                <w:rFonts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ascii="微软雅黑" w:hAnsi="微软雅黑" w:eastAsia="微软雅黑" w:cs="微软雅黑"/>
                <w:sz w:val="20"/>
                <w:szCs w:val="20"/>
              </w:rPr>
            </w:pPr>
          </w:p>
        </w:tc>
        <w:tc>
          <w:tcPr>
            <w:tcW w:w="709" w:type="dxa"/>
            <w:vMerge w:val="continue"/>
            <w:vAlign w:val="center"/>
          </w:tcPr>
          <w:p>
            <w:pPr>
              <w:spacing w:line="240" w:lineRule="exact"/>
              <w:rPr>
                <w:rFonts w:ascii="微软雅黑" w:hAnsi="微软雅黑" w:eastAsia="微软雅黑" w:cs="微软雅黑"/>
                <w:sz w:val="20"/>
                <w:szCs w:val="20"/>
                <w:lang w:val="zh-CN"/>
              </w:rPr>
            </w:pPr>
          </w:p>
        </w:tc>
        <w:tc>
          <w:tcPr>
            <w:tcW w:w="4679"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（6）法律、行政法规规定的其他条件</w:t>
            </w:r>
          </w:p>
        </w:tc>
        <w:tc>
          <w:tcPr>
            <w:tcW w:w="3831" w:type="dxa"/>
            <w:vAlign w:val="center"/>
          </w:tcPr>
          <w:p>
            <w:pPr>
              <w:spacing w:line="500" w:lineRule="exact"/>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6" w:type="dxa"/>
            <w:vAlign w:val="center"/>
          </w:tcPr>
          <w:p>
            <w:pPr>
              <w:spacing w:line="5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2</w:t>
            </w:r>
          </w:p>
        </w:tc>
        <w:tc>
          <w:tcPr>
            <w:tcW w:w="5388" w:type="dxa"/>
            <w:gridSpan w:val="2"/>
            <w:vAlign w:val="center"/>
          </w:tcPr>
          <w:p>
            <w:pPr>
              <w:spacing w:line="500" w:lineRule="exact"/>
              <w:jc w:val="center"/>
              <w:rPr>
                <w:rFonts w:ascii="微软雅黑" w:hAnsi="微软雅黑" w:eastAsia="微软雅黑" w:cs="微软雅黑"/>
                <w:sz w:val="21"/>
                <w:szCs w:val="21"/>
                <w:lang w:val="zh-CN"/>
              </w:rPr>
            </w:pPr>
            <w:r>
              <w:rPr>
                <w:rFonts w:hint="eastAsia" w:ascii="微软雅黑" w:hAnsi="微软雅黑" w:eastAsia="微软雅黑" w:cs="微软雅黑"/>
                <w:sz w:val="21"/>
                <w:szCs w:val="21"/>
              </w:rPr>
              <w:t>特定资格条件</w:t>
            </w:r>
          </w:p>
          <w:p>
            <w:pPr>
              <w:spacing w:line="500" w:lineRule="exact"/>
              <w:rPr>
                <w:rFonts w:ascii="微软雅黑" w:hAnsi="微软雅黑" w:eastAsia="微软雅黑" w:cs="微软雅黑"/>
                <w:sz w:val="21"/>
                <w:szCs w:val="21"/>
              </w:rPr>
            </w:pPr>
          </w:p>
        </w:tc>
        <w:tc>
          <w:tcPr>
            <w:tcW w:w="3831" w:type="dxa"/>
            <w:vAlign w:val="center"/>
          </w:tcPr>
          <w:p>
            <w:pPr>
              <w:spacing w:line="500" w:lineRule="exact"/>
              <w:rPr>
                <w:rFonts w:ascii="微软雅黑" w:hAnsi="微软雅黑" w:eastAsia="微软雅黑" w:cs="微软雅黑"/>
                <w:sz w:val="20"/>
                <w:szCs w:val="20"/>
              </w:rPr>
            </w:pPr>
            <w:r>
              <w:rPr>
                <w:rFonts w:hint="eastAsia" w:ascii="微软雅黑" w:hAnsi="微软雅黑" w:eastAsia="微软雅黑" w:cs="微软雅黑"/>
                <w:sz w:val="21"/>
                <w:szCs w:val="21"/>
              </w:rPr>
              <w:t>按第一篇“三、供应商资格条件”的要求提交（如有）。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6" w:type="dxa"/>
            <w:vAlign w:val="center"/>
          </w:tcPr>
          <w:p>
            <w:pPr>
              <w:spacing w:line="5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3</w:t>
            </w:r>
          </w:p>
        </w:tc>
        <w:tc>
          <w:tcPr>
            <w:tcW w:w="5388" w:type="dxa"/>
            <w:gridSpan w:val="2"/>
            <w:vAlign w:val="center"/>
          </w:tcPr>
          <w:p>
            <w:pPr>
              <w:spacing w:line="50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保证金</w:t>
            </w:r>
          </w:p>
        </w:tc>
        <w:tc>
          <w:tcPr>
            <w:tcW w:w="3831" w:type="dxa"/>
          </w:tcPr>
          <w:p>
            <w:pPr>
              <w:spacing w:line="500" w:lineRule="exact"/>
              <w:rPr>
                <w:rFonts w:ascii="微软雅黑" w:hAnsi="微软雅黑" w:eastAsia="微软雅黑" w:cs="微软雅黑"/>
                <w:sz w:val="20"/>
                <w:szCs w:val="20"/>
              </w:rPr>
            </w:pPr>
            <w:r>
              <w:rPr>
                <w:rFonts w:hint="eastAsia" w:ascii="微软雅黑" w:hAnsi="微软雅黑" w:eastAsia="微软雅黑" w:cs="微软雅黑"/>
                <w:sz w:val="21"/>
                <w:szCs w:val="21"/>
              </w:rPr>
              <w:t>按规定按时提交足额比选保证金</w:t>
            </w:r>
          </w:p>
        </w:tc>
      </w:tr>
    </w:tbl>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注：</w:t>
      </w:r>
    </w:p>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①供应商按“多证合一”登记制度办理营业执照的，税务登记证（副本）和社会保险登记证以供应商所提供的营业执照（副本）复印件为准。</w:t>
      </w:r>
    </w:p>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50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2.符合性检查。依据竞争性比选文件的规定，从响应文件的有效性、完整性和对竞争性比选文件的响应程度进行审查，以确定是否对竞争性比选文件的实质性要求作出响应。符合性检查资料表如下：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1"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3526" w:type="dxa"/>
            <w:gridSpan w:val="2"/>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评审因素</w:t>
            </w:r>
          </w:p>
        </w:tc>
        <w:tc>
          <w:tcPr>
            <w:tcW w:w="5382" w:type="dxa"/>
            <w:vAlign w:val="center"/>
          </w:tcPr>
          <w:p>
            <w:pPr>
              <w:spacing w:line="240" w:lineRule="exact"/>
              <w:jc w:val="center"/>
              <w:rPr>
                <w:rFonts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1" w:type="dxa"/>
            <w:vMerge w:val="restart"/>
            <w:vAlign w:val="center"/>
          </w:tcPr>
          <w:p>
            <w:pPr>
              <w:spacing w:line="240" w:lineRule="exact"/>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552" w:type="dxa"/>
            <w:vMerge w:val="restart"/>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有效性审查</w:t>
            </w: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响应文件签署</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kern w:val="0"/>
                <w:sz w:val="20"/>
                <w:szCs w:val="20"/>
              </w:rPr>
            </w:pPr>
          </w:p>
        </w:tc>
        <w:tc>
          <w:tcPr>
            <w:tcW w:w="1974"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法定代表人身份证明及授权委托书</w:t>
            </w:r>
          </w:p>
        </w:tc>
        <w:tc>
          <w:tcPr>
            <w:tcW w:w="5382" w:type="dxa"/>
            <w:vAlign w:val="center"/>
          </w:tcPr>
          <w:p>
            <w:pPr>
              <w:spacing w:line="240" w:lineRule="exact"/>
              <w:rPr>
                <w:rFonts w:ascii="微软雅黑" w:hAnsi="微软雅黑" w:eastAsia="微软雅黑" w:cs="微软雅黑"/>
                <w:sz w:val="20"/>
                <w:szCs w:val="20"/>
              </w:rPr>
            </w:pPr>
            <w:r>
              <w:rPr>
                <w:rFonts w:hint="eastAsia" w:ascii="微软雅黑" w:hAnsi="微软雅黑" w:eastAsia="微软雅黑" w:cs="微软雅黑"/>
                <w:sz w:val="20"/>
                <w:szCs w:val="20"/>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kern w:val="0"/>
                <w:sz w:val="20"/>
                <w:szCs w:val="20"/>
              </w:rPr>
            </w:pPr>
          </w:p>
        </w:tc>
        <w:tc>
          <w:tcPr>
            <w:tcW w:w="1974"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方案</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lang w:val="zh-CN"/>
              </w:rPr>
              <w:t>只能有一个</w:t>
            </w: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kern w:val="0"/>
                <w:sz w:val="20"/>
                <w:szCs w:val="20"/>
              </w:rPr>
            </w:pPr>
          </w:p>
        </w:tc>
        <w:tc>
          <w:tcPr>
            <w:tcW w:w="1974" w:type="dxa"/>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sz w:val="20"/>
                <w:szCs w:val="20"/>
              </w:rPr>
              <w:t>报价唯一</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1" w:type="dxa"/>
            <w:vAlign w:val="center"/>
          </w:tcPr>
          <w:p>
            <w:pPr>
              <w:spacing w:line="240" w:lineRule="exact"/>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55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完整性审查</w:t>
            </w: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文件份数</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文件正、副本数量（含电子文档）符合</w:t>
            </w:r>
            <w:r>
              <w:rPr>
                <w:rFonts w:hint="eastAsia" w:ascii="微软雅黑" w:hAnsi="微软雅黑" w:eastAsia="微软雅黑" w:cs="微软雅黑"/>
                <w:sz w:val="20"/>
                <w:szCs w:val="20"/>
              </w:rPr>
              <w:t>竞争性比选</w:t>
            </w:r>
            <w:r>
              <w:rPr>
                <w:rFonts w:hint="eastAsia" w:ascii="微软雅黑" w:hAnsi="微软雅黑" w:eastAsia="微软雅黑" w:cs="微软雅黑"/>
                <w:sz w:val="20"/>
                <w:szCs w:val="20"/>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1" w:type="dxa"/>
            <w:vMerge w:val="restart"/>
            <w:vAlign w:val="center"/>
          </w:tcPr>
          <w:p>
            <w:pPr>
              <w:spacing w:line="240" w:lineRule="exact"/>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552" w:type="dxa"/>
            <w:vMerge w:val="restart"/>
            <w:vAlign w:val="center"/>
          </w:tcPr>
          <w:p>
            <w:pPr>
              <w:spacing w:line="240" w:lineRule="exact"/>
              <w:rPr>
                <w:rFonts w:ascii="微软雅黑" w:hAnsi="微软雅黑" w:eastAsia="微软雅黑" w:cs="微软雅黑"/>
                <w:sz w:val="20"/>
                <w:szCs w:val="20"/>
                <w:lang w:val="zh-CN"/>
              </w:rPr>
            </w:pPr>
            <w:r>
              <w:rPr>
                <w:rFonts w:hint="eastAsia" w:ascii="微软雅黑" w:hAnsi="微软雅黑" w:eastAsia="微软雅黑" w:cs="微软雅黑"/>
                <w:kern w:val="0"/>
                <w:sz w:val="20"/>
                <w:szCs w:val="20"/>
              </w:rPr>
              <w:t>竞争性比选文件的响应程度审查</w:t>
            </w: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响应文件内容</w:t>
            </w:r>
          </w:p>
        </w:tc>
        <w:tc>
          <w:tcPr>
            <w:tcW w:w="5382" w:type="dxa"/>
            <w:vAlign w:val="center"/>
          </w:tcPr>
          <w:p>
            <w:pPr>
              <w:pStyle w:val="11"/>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对竞争性比选文件第二篇规定的比选内容作出响应。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1" w:type="dxa"/>
            <w:vMerge w:val="continue"/>
            <w:vAlign w:val="center"/>
          </w:tcPr>
          <w:p>
            <w:pPr>
              <w:spacing w:line="240" w:lineRule="exact"/>
              <w:jc w:val="center"/>
              <w:rPr>
                <w:rFonts w:ascii="微软雅黑" w:hAnsi="微软雅黑" w:eastAsia="微软雅黑" w:cs="微软雅黑"/>
                <w:kern w:val="0"/>
                <w:sz w:val="20"/>
                <w:szCs w:val="20"/>
              </w:rPr>
            </w:pPr>
          </w:p>
        </w:tc>
        <w:tc>
          <w:tcPr>
            <w:tcW w:w="1552" w:type="dxa"/>
            <w:vMerge w:val="continue"/>
            <w:vAlign w:val="center"/>
          </w:tcPr>
          <w:p>
            <w:pPr>
              <w:spacing w:line="240" w:lineRule="exact"/>
              <w:rPr>
                <w:rFonts w:ascii="微软雅黑" w:hAnsi="微软雅黑" w:eastAsia="微软雅黑" w:cs="微软雅黑"/>
                <w:sz w:val="20"/>
                <w:szCs w:val="20"/>
                <w:lang w:val="zh-CN"/>
              </w:rPr>
            </w:pPr>
          </w:p>
        </w:tc>
        <w:tc>
          <w:tcPr>
            <w:tcW w:w="1974"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比选有效期</w:t>
            </w:r>
          </w:p>
        </w:tc>
        <w:tc>
          <w:tcPr>
            <w:tcW w:w="5382" w:type="dxa"/>
            <w:vAlign w:val="center"/>
          </w:tcPr>
          <w:p>
            <w:pPr>
              <w:spacing w:line="240" w:lineRule="exac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满足比选文件</w:t>
            </w:r>
            <w:r>
              <w:rPr>
                <w:rFonts w:hint="eastAsia" w:ascii="微软雅黑" w:hAnsi="微软雅黑" w:eastAsia="微软雅黑" w:cs="微软雅黑"/>
                <w:sz w:val="20"/>
                <w:szCs w:val="20"/>
                <w:lang w:val="zh-CN"/>
              </w:rPr>
              <w:t>规定。</w:t>
            </w:r>
          </w:p>
        </w:tc>
      </w:tr>
    </w:tbl>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（五）在比选过程中比选的任何一方不得向他人透露与比选有关的服务资料、价格或其他信息。</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在比选过程中，比选小组可以根据竞争性比选文件和比选情况实质性变动采购需求中的服务、商务要求以及合同草案条款，但不得变动竞争性比选文件中的其他内容。对竞争性比选文件作出的实质性变动是竞争性比选文件的有效组成部分，比选小组应当及时以书面形式同时通知所有参加比选的供应商。</w:t>
      </w:r>
    </w:p>
    <w:p>
      <w:pPr>
        <w:spacing w:line="500" w:lineRule="exact"/>
        <w:ind w:firstLine="480" w:firstLineChars="200"/>
        <w:rPr>
          <w:rFonts w:ascii="微软雅黑" w:hAnsi="微软雅黑" w:eastAsia="微软雅黑" w:cs="微软雅黑"/>
          <w:sz w:val="24"/>
          <w:szCs w:val="24"/>
        </w:rPr>
      </w:pPr>
      <w:bookmarkStart w:id="53" w:name="_Toc54353623"/>
      <w:r>
        <w:rPr>
          <w:rFonts w:hint="eastAsia" w:ascii="微软雅黑" w:hAnsi="微软雅黑" w:eastAsia="微软雅黑" w:cs="微软雅黑"/>
          <w:sz w:val="24"/>
          <w:szCs w:val="24"/>
        </w:rPr>
        <w:t>（七）供应商在竞争性比选时作出的所有书面承诺须由法定代表人或其授权代表签字。</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竞争性比选小组采用综合评分法对供应商的响应文件和报价（含有效书面承诺）进行综合评分。综合评分法，是指响应文件满足竞争性比选文件全部实质性要求且按照评审因素的量化指标评审得分最高的供应商为成交候选供应商的评审方法。供应商总得分为价格、商务、服务等评定因素分别按照相应权重值计算分项得分后相加，满分为100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（九）竞争性比选小组各成员独立对每个有效响应（通过资格性、符合性检查的供应商）的文件进行评价、打分，然后汇总每个供应商每项评分因素的得分，</w:t>
      </w:r>
      <w:bookmarkStart w:id="54" w:name="_Hlk82013679"/>
      <w:r>
        <w:rPr>
          <w:rFonts w:hint="eastAsia" w:ascii="微软雅黑" w:hAnsi="微软雅黑" w:eastAsia="微软雅黑" w:cs="微软雅黑"/>
          <w:sz w:val="24"/>
          <w:szCs w:val="24"/>
        </w:rPr>
        <w:t>并根据综合评分情况按照评审得分由高到低顺序推荐2名及以上成交候选供应商，排名第一的为第一成交候选供应商。评审得分且报价相同的，按照服务部分得分优劣顺序排列推荐。以上都相同的，按商务部分得分的优劣顺序排列推荐。</w:t>
      </w:r>
      <w:bookmarkEnd w:id="54"/>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若供应商的服务部分为0分，将失去成为成交候选供应商的资格。</w:t>
      </w:r>
    </w:p>
    <w:p>
      <w:pPr>
        <w:pStyle w:val="5"/>
        <w:spacing w:before="0" w:after="0" w:line="500" w:lineRule="exact"/>
        <w:ind w:firstLine="480" w:firstLineChars="200"/>
        <w:rPr>
          <w:rFonts w:ascii="微软雅黑" w:hAnsi="微软雅黑" w:eastAsia="微软雅黑" w:cs="微软雅黑"/>
          <w:sz w:val="24"/>
          <w:szCs w:val="24"/>
        </w:rPr>
      </w:pPr>
      <w:bookmarkStart w:id="55" w:name="_Toc19831"/>
      <w:r>
        <w:rPr>
          <w:rFonts w:hint="eastAsia" w:ascii="微软雅黑" w:hAnsi="微软雅黑" w:eastAsia="微软雅黑" w:cs="微软雅黑"/>
          <w:sz w:val="24"/>
          <w:szCs w:val="24"/>
        </w:rPr>
        <w:t>二、</w:t>
      </w:r>
      <w:bookmarkStart w:id="56" w:name="_Toc342913394"/>
      <w:bookmarkStart w:id="57" w:name="_Toc102227320"/>
      <w:r>
        <w:rPr>
          <w:rFonts w:hint="eastAsia" w:ascii="微软雅黑" w:hAnsi="微软雅黑" w:eastAsia="微软雅黑" w:cs="微软雅黑"/>
          <w:sz w:val="24"/>
          <w:szCs w:val="24"/>
        </w:rPr>
        <w:t>评审标准</w:t>
      </w:r>
      <w:bookmarkEnd w:id="53"/>
      <w:bookmarkEnd w:id="55"/>
    </w:p>
    <w:tbl>
      <w:tblPr>
        <w:tblStyle w:val="17"/>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104"/>
        <w:gridCol w:w="1039"/>
        <w:gridCol w:w="682"/>
        <w:gridCol w:w="4759"/>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序号</w:t>
            </w:r>
          </w:p>
        </w:tc>
        <w:tc>
          <w:tcPr>
            <w:tcW w:w="2143" w:type="dxa"/>
            <w:gridSpan w:val="2"/>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评分因素及权值</w:t>
            </w:r>
          </w:p>
        </w:tc>
        <w:tc>
          <w:tcPr>
            <w:tcW w:w="682" w:type="dxa"/>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分值</w:t>
            </w:r>
          </w:p>
        </w:tc>
        <w:tc>
          <w:tcPr>
            <w:tcW w:w="4759" w:type="dxa"/>
            <w:vAlign w:val="center"/>
          </w:tcPr>
          <w:p>
            <w:pPr>
              <w:spacing w:line="240" w:lineRule="atLeast"/>
              <w:ind w:firstLine="28"/>
              <w:jc w:val="center"/>
              <w:rPr>
                <w:rFonts w:ascii="微软雅黑" w:hAnsi="微软雅黑" w:eastAsia="微软雅黑" w:cs="微软雅黑"/>
                <w:b/>
                <w:sz w:val="20"/>
                <w:szCs w:val="20"/>
              </w:rPr>
            </w:pPr>
            <w:r>
              <w:rPr>
                <w:rFonts w:hint="eastAsia" w:ascii="微软雅黑" w:hAnsi="微软雅黑" w:eastAsia="微软雅黑" w:cs="微软雅黑"/>
                <w:b/>
                <w:sz w:val="20"/>
                <w:szCs w:val="20"/>
              </w:rPr>
              <w:t>评分标准</w:t>
            </w:r>
          </w:p>
        </w:tc>
        <w:tc>
          <w:tcPr>
            <w:tcW w:w="1064"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b/>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1</w:t>
            </w:r>
          </w:p>
        </w:tc>
        <w:tc>
          <w:tcPr>
            <w:tcW w:w="2143" w:type="dxa"/>
            <w:gridSpan w:val="2"/>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比选报价</w:t>
            </w:r>
          </w:p>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vAlign w:val="center"/>
          </w:tcPr>
          <w:p>
            <w:pPr>
              <w:spacing w:line="240" w:lineRule="atLeas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有效的投标报价中的最低价为评标基准价，其价格分为满分。其他投标人的价格分统一按照下列公式计算：</w:t>
            </w:r>
          </w:p>
          <w:p>
            <w:pPr>
              <w:spacing w:line="240" w:lineRule="atLeas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投标报价得分＝（评标基准价/投标报价）×价格权重×100。</w:t>
            </w:r>
          </w:p>
        </w:tc>
        <w:tc>
          <w:tcPr>
            <w:tcW w:w="1064" w:type="dxa"/>
            <w:vAlign w:val="center"/>
          </w:tcPr>
          <w:p>
            <w:pPr>
              <w:spacing w:line="240" w:lineRule="atLeast"/>
              <w:ind w:left="-38"/>
              <w:rPr>
                <w:rFonts w:ascii="微软雅黑" w:hAnsi="微软雅黑" w:eastAsia="微软雅黑" w:cs="微软雅黑"/>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248" w:type="dxa"/>
            <w:gridSpan w:val="6"/>
            <w:vAlign w:val="center"/>
          </w:tcPr>
          <w:p>
            <w:pPr>
              <w:spacing w:line="240" w:lineRule="atLeast"/>
              <w:ind w:left="-38"/>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供应商对“第二篇 项目服务需求”有一条不满足的，服务部分得0分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restart"/>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w:t>
            </w:r>
          </w:p>
        </w:tc>
        <w:tc>
          <w:tcPr>
            <w:tcW w:w="1104" w:type="dxa"/>
            <w:vMerge w:val="restart"/>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服务部分（60%）</w:t>
            </w:r>
          </w:p>
        </w:tc>
        <w:tc>
          <w:tcPr>
            <w:tcW w:w="1039"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总体需求理解</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ascii="微软雅黑" w:hAnsi="微软雅黑" w:eastAsia="微软雅黑" w:cs="微软雅黑"/>
                <w:sz w:val="20"/>
                <w:szCs w:val="20"/>
              </w:rPr>
              <w:t>20</w:t>
            </w:r>
          </w:p>
        </w:tc>
        <w:tc>
          <w:tcPr>
            <w:tcW w:w="4759" w:type="dxa"/>
            <w:vAlign w:val="center"/>
          </w:tcPr>
          <w:p>
            <w:pPr>
              <w:pStyle w:val="2"/>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供应商根据对本项目的理解、认识及总体思路，提供整体策划方案。</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根据方案针对性，可执行性进行评审。针对性，可执行性强的得优20分；针对性，可执行性较强的得良15分；</w:t>
            </w:r>
          </w:p>
          <w:p>
            <w:pPr>
              <w:pStyle w:val="2"/>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针对性，可执行性较一般的得良,10分；无针对性，不可执行性为差的得,5分，不提供方案得0分。</w:t>
            </w:r>
          </w:p>
          <w:p>
            <w:pPr>
              <w:jc w:val="left"/>
              <w:rPr>
                <w:rFonts w:ascii="微软雅黑" w:hAnsi="微软雅黑" w:eastAsia="微软雅黑" w:cs="微软雅黑"/>
                <w:color w:val="auto"/>
                <w:sz w:val="20"/>
                <w:szCs w:val="20"/>
              </w:rPr>
            </w:pPr>
          </w:p>
        </w:tc>
        <w:tc>
          <w:tcPr>
            <w:tcW w:w="1064" w:type="dxa"/>
            <w:vMerge w:val="restart"/>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104"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039"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设计方案</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vAlign w:val="center"/>
          </w:tcPr>
          <w:p>
            <w:pPr>
              <w:jc w:val="left"/>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rPr>
              <w:t>供应商根据现场实际情况提供整</w:t>
            </w:r>
            <w:r>
              <w:rPr>
                <w:rFonts w:hint="eastAsia" w:ascii="微软雅黑" w:hAnsi="微软雅黑" w:eastAsia="微软雅黑" w:cs="微软雅黑"/>
                <w:color w:val="auto"/>
                <w:sz w:val="20"/>
                <w:szCs w:val="20"/>
                <w:highlight w:val="none"/>
              </w:rPr>
              <w:t>体设计方案，包括主</w:t>
            </w:r>
            <w:r>
              <w:rPr>
                <w:rFonts w:ascii="微软雅黑" w:hAnsi="微软雅黑" w:eastAsia="微软雅黑" w:cs="微软雅黑"/>
                <w:color w:val="auto"/>
                <w:sz w:val="20"/>
                <w:szCs w:val="20"/>
                <w:highlight w:val="none"/>
              </w:rPr>
              <w:t>k设计</w:t>
            </w:r>
            <w:r>
              <w:rPr>
                <w:rFonts w:hint="eastAsia" w:ascii="微软雅黑" w:hAnsi="微软雅黑" w:eastAsia="微软雅黑" w:cs="微软雅黑"/>
                <w:color w:val="auto"/>
                <w:sz w:val="20"/>
                <w:szCs w:val="20"/>
                <w:highlight w:val="none"/>
              </w:rPr>
              <w:t>、舞台设计、氛围设计、物料设计等。</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highlight w:val="none"/>
              </w:rPr>
              <w:t>根据方案针对性，可执行性进行评审。针对性</w:t>
            </w:r>
            <w:r>
              <w:rPr>
                <w:rFonts w:hint="eastAsia" w:ascii="微软雅黑" w:hAnsi="微软雅黑" w:eastAsia="微软雅黑" w:cs="微软雅黑"/>
                <w:color w:val="auto"/>
                <w:sz w:val="20"/>
                <w:szCs w:val="20"/>
              </w:rPr>
              <w:t>，可执行性强的得优20分；针对性，可执行性较强的得良15分；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针对性，可执行性较一般的得良,10分；无针对性，不可执行性为差的得,5分，不提供方案得0分。</w:t>
            </w:r>
          </w:p>
        </w:tc>
        <w:tc>
          <w:tcPr>
            <w:tcW w:w="1064" w:type="dxa"/>
            <w:vMerge w:val="continue"/>
            <w:vAlign w:val="center"/>
          </w:tcPr>
          <w:p>
            <w:pPr>
              <w:spacing w:line="240" w:lineRule="atLeast"/>
              <w:ind w:firstLine="28"/>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104" w:type="dxa"/>
            <w:vMerge w:val="continue"/>
            <w:vAlign w:val="center"/>
          </w:tcPr>
          <w:p>
            <w:pPr>
              <w:spacing w:line="240" w:lineRule="atLeast"/>
              <w:ind w:firstLine="28"/>
              <w:jc w:val="center"/>
              <w:rPr>
                <w:rFonts w:ascii="微软雅黑" w:hAnsi="微软雅黑" w:eastAsia="微软雅黑" w:cs="微软雅黑"/>
                <w:sz w:val="20"/>
                <w:szCs w:val="20"/>
              </w:rPr>
            </w:pPr>
          </w:p>
        </w:tc>
        <w:tc>
          <w:tcPr>
            <w:tcW w:w="1039"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实施方案</w:t>
            </w:r>
          </w:p>
        </w:tc>
        <w:tc>
          <w:tcPr>
            <w:tcW w:w="682"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vAlign w:val="center"/>
          </w:tcPr>
          <w:p>
            <w:pPr>
              <w:jc w:val="left"/>
              <w:rPr>
                <w:rFonts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提供现场实施方案，包括但不限于布置搭建及拆除实施方案、现场维护实施方案等。</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highlight w:val="none"/>
              </w:rPr>
              <w:t>根据方案针对性，可执行性进行评审。针</w:t>
            </w:r>
            <w:r>
              <w:rPr>
                <w:rFonts w:hint="eastAsia" w:ascii="微软雅黑" w:hAnsi="微软雅黑" w:eastAsia="微软雅黑" w:cs="微软雅黑"/>
                <w:color w:val="auto"/>
                <w:sz w:val="20"/>
                <w:szCs w:val="20"/>
              </w:rPr>
              <w:t>对性，可执行性强的得优20分；针对性，可执行性较强的得良15分；</w:t>
            </w:r>
          </w:p>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针对性，可执行性较一般的得良,10分；无针对性，不可执行性为差的得,5分，不提供方案得0分。</w:t>
            </w:r>
          </w:p>
        </w:tc>
        <w:tc>
          <w:tcPr>
            <w:tcW w:w="1064" w:type="dxa"/>
            <w:vMerge w:val="continue"/>
            <w:vAlign w:val="center"/>
          </w:tcPr>
          <w:p>
            <w:pPr>
              <w:spacing w:line="240" w:lineRule="atLeast"/>
              <w:ind w:firstLine="28"/>
              <w:jc w:val="center"/>
              <w:rPr>
                <w:rFonts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gridSpan w:val="6"/>
            <w:vAlign w:val="center"/>
          </w:tcPr>
          <w:p>
            <w:pPr>
              <w:spacing w:line="240" w:lineRule="atLeas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供应商的应答应满足竞争性比选文件“第三篇 项目商务要求”，有一条不满足的，商务部分得分为0分，不再进入商务部分的评审。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00" w:type="dxa"/>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104" w:type="dxa"/>
            <w:tcBorders>
              <w:top w:val="single" w:color="auto" w:sz="4" w:space="0"/>
              <w:right w:val="single" w:color="auto" w:sz="4" w:space="0"/>
            </w:tcBorders>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商务部分</w:t>
            </w:r>
          </w:p>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1039" w:type="dxa"/>
            <w:tcBorders>
              <w:top w:val="single" w:color="auto" w:sz="4" w:space="0"/>
              <w:right w:val="single" w:color="auto" w:sz="4" w:space="0"/>
            </w:tcBorders>
            <w:vAlign w:val="center"/>
          </w:tcPr>
          <w:p>
            <w:pPr>
              <w:tabs>
                <w:tab w:val="left" w:pos="411"/>
              </w:tabs>
              <w:spacing w:line="240" w:lineRule="atLeast"/>
              <w:ind w:firstLine="218" w:firstLineChars="109"/>
              <w:jc w:val="left"/>
              <w:rPr>
                <w:rFonts w:ascii="微软雅黑" w:hAnsi="微软雅黑" w:eastAsia="微软雅黑" w:cs="微软雅黑"/>
                <w:sz w:val="20"/>
                <w:szCs w:val="20"/>
              </w:rPr>
            </w:pPr>
            <w:r>
              <w:rPr>
                <w:rFonts w:hint="eastAsia" w:ascii="微软雅黑" w:hAnsi="微软雅黑" w:eastAsia="微软雅黑" w:cs="微软雅黑"/>
                <w:sz w:val="20"/>
                <w:szCs w:val="20"/>
              </w:rPr>
              <w:t>业绩</w:t>
            </w:r>
          </w:p>
        </w:tc>
        <w:tc>
          <w:tcPr>
            <w:tcW w:w="682" w:type="dxa"/>
            <w:tcBorders>
              <w:top w:val="single" w:color="auto" w:sz="4" w:space="0"/>
              <w:left w:val="single" w:color="auto" w:sz="4" w:space="0"/>
              <w:right w:val="single" w:color="auto" w:sz="4" w:space="0"/>
            </w:tcBorders>
            <w:vAlign w:val="center"/>
          </w:tcPr>
          <w:p>
            <w:pPr>
              <w:spacing w:line="240" w:lineRule="atLeast"/>
              <w:ind w:firstLine="28"/>
              <w:jc w:val="center"/>
              <w:rPr>
                <w:rFonts w:ascii="微软雅黑" w:hAnsi="微软雅黑" w:eastAsia="微软雅黑" w:cs="微软雅黑"/>
                <w:sz w:val="20"/>
                <w:szCs w:val="20"/>
              </w:rPr>
            </w:pPr>
            <w:r>
              <w:rPr>
                <w:rFonts w:hint="eastAsia" w:ascii="微软雅黑" w:hAnsi="微软雅黑" w:eastAsia="微软雅黑" w:cs="微软雅黑"/>
                <w:sz w:val="20"/>
                <w:szCs w:val="20"/>
              </w:rPr>
              <w:t>20</w:t>
            </w:r>
          </w:p>
        </w:tc>
        <w:tc>
          <w:tcPr>
            <w:tcW w:w="4759" w:type="dxa"/>
            <w:tcBorders>
              <w:top w:val="single" w:color="auto" w:sz="4" w:space="0"/>
              <w:left w:val="single" w:color="auto" w:sz="4" w:space="0"/>
              <w:right w:val="single" w:color="auto" w:sz="4" w:space="0"/>
            </w:tcBorders>
            <w:vAlign w:val="center"/>
          </w:tcPr>
          <w:p>
            <w:pPr>
              <w:jc w:val="left"/>
              <w:rPr>
                <w:rFonts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供应商提供一个20</w:t>
            </w:r>
            <w:r>
              <w:rPr>
                <w:rFonts w:ascii="微软雅黑" w:hAnsi="微软雅黑" w:eastAsia="微软雅黑" w:cs="微软雅黑"/>
                <w:color w:val="auto"/>
                <w:sz w:val="20"/>
                <w:szCs w:val="20"/>
              </w:rPr>
              <w:t>19</w:t>
            </w:r>
            <w:r>
              <w:rPr>
                <w:rFonts w:hint="eastAsia" w:ascii="微软雅黑" w:hAnsi="微软雅黑" w:eastAsia="微软雅黑" w:cs="微软雅黑"/>
                <w:color w:val="auto"/>
                <w:sz w:val="20"/>
                <w:szCs w:val="20"/>
              </w:rPr>
              <w:t>年1月1日至今（合同签订时间为准）类似本项目的设计制作或会务服务相关业绩，每提供一个得5分，最高得20分。</w:t>
            </w:r>
          </w:p>
        </w:tc>
        <w:tc>
          <w:tcPr>
            <w:tcW w:w="1064" w:type="dxa"/>
            <w:tcBorders>
              <w:top w:val="single" w:color="auto" w:sz="4" w:space="0"/>
              <w:left w:val="single" w:color="auto" w:sz="4" w:space="0"/>
              <w:right w:val="single" w:color="auto" w:sz="4" w:space="0"/>
            </w:tcBorders>
            <w:vAlign w:val="center"/>
          </w:tcPr>
          <w:p>
            <w:pPr>
              <w:jc w:val="left"/>
            </w:pPr>
            <w:r>
              <w:rPr>
                <w:rFonts w:hint="eastAsia" w:ascii="微软雅黑" w:hAnsi="微软雅黑" w:eastAsia="微软雅黑" w:cs="微软雅黑"/>
                <w:sz w:val="20"/>
                <w:szCs w:val="20"/>
              </w:rPr>
              <w:t>提供业绩合同复印件，并加盖供应商公章。</w:t>
            </w:r>
          </w:p>
        </w:tc>
      </w:tr>
    </w:tbl>
    <w:p/>
    <w:p>
      <w:pPr>
        <w:pStyle w:val="5"/>
        <w:spacing w:before="0" w:after="0" w:line="500" w:lineRule="exact"/>
        <w:ind w:firstLine="480" w:firstLineChars="200"/>
        <w:rPr>
          <w:rFonts w:ascii="微软雅黑" w:hAnsi="微软雅黑" w:eastAsia="微软雅黑" w:cs="微软雅黑"/>
          <w:sz w:val="24"/>
          <w:szCs w:val="24"/>
        </w:rPr>
      </w:pPr>
      <w:bookmarkStart w:id="58" w:name="_Toc5289"/>
      <w:bookmarkStart w:id="59" w:name="_Toc54353624"/>
      <w:r>
        <w:rPr>
          <w:rFonts w:hint="eastAsia" w:ascii="微软雅黑" w:hAnsi="微软雅黑" w:eastAsia="微软雅黑" w:cs="微软雅黑"/>
          <w:sz w:val="24"/>
          <w:szCs w:val="24"/>
        </w:rPr>
        <w:t>三、无效响应</w:t>
      </w:r>
      <w:bookmarkEnd w:id="58"/>
      <w:bookmarkEnd w:id="59"/>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供应商发生以下条款情况之一者，视为无效响应，其响应文件将被拒绝：</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（一）供应商不符合规定的基本资格条件或特定资格条件的；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（二）供应商的法定代表人或其授权代表未参加比选；</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（三）供应商所提交的响应文件不按第七篇“响应文件编制要求”规定签字、盖章；</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（四）供应商的报价超过采购预算或最高限价的；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（五）法定代表人为同一个人的两个及两个以上法人，母公司、全资子公司及其控股公司，在同一分包采购中同时参与比选；</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（六）单位负责人为同一人或者存在直接控股、管理关系的不同供应商，参加同一合同项下的政府采购活动的；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（七）为采购项目提供整体设计、规范编制或者项目管理、监理、检测等服务的供应商，再参加该采购项目的其他采购活动；</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（八）供应商比选有效期不满足竞争性比选文件要求的；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（九）供应商响应文件内容有与国家现行法律法规相违背的内容，或附有采购人无法接受的条件。</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（十）供应商以联合体形式参与比选的；</w:t>
      </w:r>
    </w:p>
    <w:p>
      <w:pPr>
        <w:pStyle w:val="5"/>
        <w:spacing w:before="0" w:after="0" w:line="500" w:lineRule="exact"/>
        <w:ind w:firstLine="480" w:firstLineChars="200"/>
        <w:rPr>
          <w:rFonts w:ascii="微软雅黑" w:hAnsi="微软雅黑" w:eastAsia="微软雅黑" w:cs="微软雅黑"/>
          <w:sz w:val="24"/>
          <w:szCs w:val="24"/>
        </w:rPr>
      </w:pPr>
      <w:bookmarkStart w:id="60" w:name="_Toc17951"/>
      <w:bookmarkStart w:id="61" w:name="_Toc54353625"/>
      <w:r>
        <w:rPr>
          <w:rFonts w:hint="eastAsia" w:ascii="微软雅黑" w:hAnsi="微软雅黑" w:eastAsia="微软雅黑" w:cs="微软雅黑"/>
          <w:sz w:val="24"/>
          <w:szCs w:val="24"/>
        </w:rPr>
        <w:t>四、</w:t>
      </w:r>
      <w:bookmarkEnd w:id="56"/>
      <w:bookmarkEnd w:id="57"/>
      <w:r>
        <w:rPr>
          <w:rFonts w:hint="eastAsia" w:ascii="微软雅黑" w:hAnsi="微软雅黑" w:eastAsia="微软雅黑" w:cs="微软雅黑"/>
          <w:sz w:val="24"/>
          <w:szCs w:val="24"/>
        </w:rPr>
        <w:t>采购终止</w:t>
      </w:r>
      <w:bookmarkEnd w:id="60"/>
      <w:bookmarkEnd w:id="61"/>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出现下列情形之一的，采购人或者采购代理机构应当终止竞争性比选采购活动，发布项目终止公告并说明原因，重新开展采购活动：</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（一）因情况变化，不再符合规定的竞争性比选采购方式适用情形的；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（三）在采购过程中符合要求的供应商或者报价未超过采购预算的供应商不足3家的，但《政府采购竞争性比选采购方式管理暂行办法》第二十一条第三款规定的情形除外。</w:t>
      </w:r>
    </w:p>
    <w:p>
      <w:pPr>
        <w:spacing w:line="360" w:lineRule="auto"/>
        <w:ind w:firstLine="480" w:firstLineChars="200"/>
        <w:rPr>
          <w:rFonts w:ascii="微软雅黑" w:hAnsi="微软雅黑" w:eastAsia="微软雅黑" w:cs="微软雅黑"/>
          <w:sz w:val="24"/>
          <w:szCs w:val="24"/>
        </w:rPr>
        <w:sectPr>
          <w:pgSz w:w="11907" w:h="16840"/>
          <w:pgMar w:top="1134" w:right="1191" w:bottom="1134" w:left="1304" w:header="964" w:footer="992" w:gutter="0"/>
          <w:cols w:space="720" w:num="1"/>
          <w:docGrid w:linePitch="312" w:charSpace="0"/>
        </w:sectPr>
      </w:pPr>
    </w:p>
    <w:p>
      <w:pPr>
        <w:pStyle w:val="4"/>
        <w:spacing w:line="360" w:lineRule="auto"/>
        <w:ind w:firstLine="0" w:firstLineChars="0"/>
        <w:jc w:val="center"/>
        <w:rPr>
          <w:rFonts w:ascii="微软雅黑" w:hAnsi="微软雅黑" w:eastAsia="微软雅黑" w:cs="微软雅黑"/>
          <w:szCs w:val="30"/>
        </w:rPr>
      </w:pPr>
      <w:bookmarkStart w:id="62" w:name="_Toc54353626"/>
      <w:bookmarkStart w:id="63" w:name="_Toc102227313"/>
      <w:bookmarkStart w:id="64" w:name="_Toc5577"/>
      <w:r>
        <w:rPr>
          <w:rFonts w:hint="eastAsia" w:ascii="微软雅黑" w:hAnsi="微软雅黑" w:eastAsia="微软雅黑" w:cs="微软雅黑"/>
          <w:sz w:val="36"/>
          <w:szCs w:val="30"/>
        </w:rPr>
        <w:t>第五篇  供应商须知</w:t>
      </w:r>
      <w:bookmarkEnd w:id="62"/>
      <w:bookmarkEnd w:id="63"/>
      <w:bookmarkEnd w:id="64"/>
    </w:p>
    <w:p>
      <w:pPr>
        <w:pStyle w:val="5"/>
        <w:spacing w:before="0" w:after="0" w:line="500" w:lineRule="exact"/>
        <w:ind w:firstLine="480" w:firstLineChars="200"/>
        <w:rPr>
          <w:rFonts w:ascii="微软雅黑" w:hAnsi="微软雅黑" w:eastAsia="微软雅黑" w:cs="微软雅黑"/>
          <w:sz w:val="24"/>
          <w:szCs w:val="24"/>
        </w:rPr>
      </w:pPr>
      <w:bookmarkStart w:id="65" w:name="_Toc54353627"/>
      <w:bookmarkStart w:id="66" w:name="_Toc342913389"/>
      <w:bookmarkStart w:id="67" w:name="_Toc20251"/>
      <w:r>
        <w:rPr>
          <w:rFonts w:hint="eastAsia" w:ascii="微软雅黑" w:hAnsi="微软雅黑" w:eastAsia="微软雅黑" w:cs="微软雅黑"/>
          <w:sz w:val="24"/>
          <w:szCs w:val="24"/>
        </w:rPr>
        <w:t>一、比选费用</w:t>
      </w:r>
      <w:bookmarkEnd w:id="65"/>
      <w:bookmarkEnd w:id="66"/>
      <w:bookmarkEnd w:id="67"/>
    </w:p>
    <w:p>
      <w:pPr>
        <w:pStyle w:val="2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参与比选的供应商应承担其编制响应文件与递交响应文件所涉及的一切费用，不论比选结果如何，采购人和采购代理机构在任何情况下无义务也无责任承担这些费用。</w:t>
      </w:r>
    </w:p>
    <w:p>
      <w:pPr>
        <w:pStyle w:val="5"/>
        <w:tabs>
          <w:tab w:val="left" w:pos="2640"/>
        </w:tabs>
        <w:spacing w:before="0" w:after="0" w:line="500" w:lineRule="exact"/>
        <w:ind w:firstLine="480" w:firstLineChars="200"/>
        <w:rPr>
          <w:rFonts w:ascii="微软雅黑" w:hAnsi="微软雅黑" w:eastAsia="微软雅黑" w:cs="微软雅黑"/>
          <w:sz w:val="24"/>
          <w:szCs w:val="24"/>
        </w:rPr>
      </w:pPr>
      <w:bookmarkStart w:id="68" w:name="_Toc342913391"/>
      <w:bookmarkStart w:id="69" w:name="_Toc27873"/>
      <w:bookmarkStart w:id="70" w:name="_Toc54353628"/>
      <w:r>
        <w:rPr>
          <w:rFonts w:hint="eastAsia" w:ascii="微软雅黑" w:hAnsi="微软雅黑" w:eastAsia="微软雅黑" w:cs="微软雅黑"/>
          <w:sz w:val="24"/>
          <w:szCs w:val="24"/>
        </w:rPr>
        <w:t>二、竞争性比选文件</w:t>
      </w:r>
      <w:bookmarkEnd w:id="68"/>
      <w:bookmarkEnd w:id="69"/>
      <w:bookmarkEnd w:id="70"/>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（一）竞争性比选文件由采购邀请书、项目服务需求、供应商须知、项目商务需求、比选程序及方法、评审标准、无效响应和采购终止、供应商须知</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政府采购合同</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响应文件编制要求七部分组成。</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（二）采购人（或采购代理机构）所作的一切有效的书面通知、修改及补充，都是竞争性比选文件不可分割的部分。</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（三）竞争性比选文件的解释</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1" w:name="_Toc318166429"/>
      <w:bookmarkStart w:id="72" w:name="_Toc318159160"/>
      <w:bookmarkStart w:id="73" w:name="_Toc318159780"/>
      <w:bookmarkStart w:id="74" w:name="_Toc318159349"/>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（四）本竞争性比选文件中，比选小组根据与供应商进行比选可能实质性变动的内容为竞争性比选文件第二、三、六篇全部内容。</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（五）评审的依据为竞争性比选文件和响应文件（含有效的书面承诺）。比选小组判断响应文件对竞争性比选文件的响应，仅基于响应文件本身而不靠外部证据。</w:t>
      </w:r>
      <w:bookmarkEnd w:id="71"/>
      <w:bookmarkEnd w:id="72"/>
      <w:bookmarkEnd w:id="73"/>
      <w:bookmarkEnd w:id="74"/>
    </w:p>
    <w:p>
      <w:pPr>
        <w:pStyle w:val="5"/>
        <w:spacing w:before="0" w:after="0" w:line="500" w:lineRule="exact"/>
        <w:ind w:firstLine="480" w:firstLineChars="200"/>
        <w:rPr>
          <w:rFonts w:ascii="微软雅黑" w:hAnsi="微软雅黑" w:eastAsia="微软雅黑" w:cs="微软雅黑"/>
          <w:sz w:val="24"/>
          <w:szCs w:val="24"/>
        </w:rPr>
      </w:pPr>
      <w:bookmarkStart w:id="75" w:name="_Toc342913392"/>
      <w:bookmarkStart w:id="76" w:name="_Toc179714297"/>
      <w:bookmarkStart w:id="77" w:name="_Toc102227318"/>
      <w:bookmarkStart w:id="78" w:name="_Toc11848"/>
      <w:bookmarkStart w:id="79" w:name="_Toc54353629"/>
      <w:r>
        <w:rPr>
          <w:rFonts w:hint="eastAsia" w:ascii="微软雅黑" w:hAnsi="微软雅黑" w:eastAsia="微软雅黑" w:cs="微软雅黑"/>
          <w:sz w:val="24"/>
          <w:szCs w:val="24"/>
        </w:rPr>
        <w:t>三、比选要求</w:t>
      </w:r>
      <w:bookmarkEnd w:id="75"/>
      <w:bookmarkEnd w:id="76"/>
      <w:bookmarkEnd w:id="77"/>
      <w:bookmarkEnd w:id="78"/>
      <w:bookmarkEnd w:id="79"/>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（一）响应文件</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1.供应商应当按照竞争性比选文件的要求编制响应文件，并对竞争性比选文件提出的要求和条件作出实质性响应。</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（二）联合体</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本项目不接受联合体参与比选。</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（三）比选有效期：响应文件及有关承诺文件有效期为提交响应文件截止时间起90天。</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（四）修正错误</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1.若供应商所递交的响应文件或报价中的价格出现大写金额和小写金额不一致的错误，以大写金额修正为准。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rPr>
        <w:t>在响应文件正本中，竞争性比选文件第六篇响应文件编制要求中规定签字、盖章的地方必须按其规定签字、盖章。</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（六）响应文件的递交</w:t>
      </w:r>
    </w:p>
    <w:p>
      <w:pPr>
        <w:pStyle w:val="10"/>
        <w:spacing w:line="5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响应文件的正本、副本以及电子文档均应密封送达比选地点，应在封套上注明比选项目名称、供应商名称。若正本、副本以及电子文档分别进行密封的，还应在封套上注明“正本”、“副本”、“电子文档”字样。</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（七）供应商参与人员</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各个供应商应当派1-2名代表参与比选，至少1人应为法定代表人或具有法定代表人授权委托书的授权代表。</w:t>
      </w:r>
    </w:p>
    <w:p>
      <w:pPr>
        <w:pStyle w:val="5"/>
        <w:spacing w:before="0" w:after="0" w:line="500" w:lineRule="exact"/>
        <w:ind w:firstLine="480" w:firstLineChars="200"/>
        <w:rPr>
          <w:rFonts w:ascii="微软雅黑" w:hAnsi="微软雅黑" w:eastAsia="微软雅黑" w:cs="微软雅黑"/>
          <w:sz w:val="24"/>
          <w:szCs w:val="24"/>
        </w:rPr>
      </w:pPr>
      <w:bookmarkStart w:id="80" w:name="_Toc54353630"/>
      <w:bookmarkStart w:id="81" w:name="_Toc29211"/>
      <w:r>
        <w:rPr>
          <w:rFonts w:hint="eastAsia" w:ascii="微软雅黑" w:hAnsi="微软雅黑" w:eastAsia="微软雅黑" w:cs="微软雅黑"/>
          <w:sz w:val="24"/>
          <w:szCs w:val="24"/>
        </w:rPr>
        <w:t>四、成交供应商的确认和变更</w:t>
      </w:r>
      <w:bookmarkEnd w:id="80"/>
      <w:bookmarkEnd w:id="81"/>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采购人应当在收到评审结束后5个工作日内，按照评分排序由高到低的原则确定成交供应商。</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500" w:lineRule="exact"/>
        <w:ind w:firstLine="480" w:firstLineChars="200"/>
        <w:rPr>
          <w:rFonts w:ascii="微软雅黑" w:hAnsi="微软雅黑" w:eastAsia="微软雅黑" w:cs="微软雅黑"/>
          <w:sz w:val="24"/>
          <w:szCs w:val="24"/>
        </w:rPr>
      </w:pPr>
      <w:bookmarkStart w:id="82" w:name="_Toc54353631"/>
      <w:bookmarkStart w:id="83" w:name="_Toc102227321"/>
      <w:bookmarkStart w:id="84" w:name="_Toc342913395"/>
      <w:bookmarkStart w:id="85" w:name="_Toc17917"/>
      <w:r>
        <w:rPr>
          <w:rFonts w:hint="eastAsia" w:ascii="微软雅黑" w:hAnsi="微软雅黑" w:eastAsia="微软雅黑" w:cs="微软雅黑"/>
          <w:sz w:val="24"/>
          <w:szCs w:val="24"/>
        </w:rPr>
        <w:t>五、成交通知</w:t>
      </w:r>
      <w:bookmarkEnd w:id="82"/>
      <w:bookmarkEnd w:id="83"/>
      <w:bookmarkEnd w:id="84"/>
      <w:bookmarkEnd w:id="85"/>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（一）成交供应商确定后，采购人将在重庆市会展服务中心官网（http://www.cqftit.cn）上发布成交结果公告。</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（二）结果公告发出同时，采购人将以书面形式发出《中标通知书》。《中标通知书》一经发出即发生法律效力。</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（三）《中标通知书》将作为签订合同的依据。</w:t>
      </w:r>
    </w:p>
    <w:p>
      <w:pPr>
        <w:pStyle w:val="5"/>
        <w:spacing w:before="0" w:after="0" w:line="500" w:lineRule="exact"/>
        <w:ind w:firstLine="480" w:firstLineChars="200"/>
        <w:rPr>
          <w:rFonts w:ascii="微软雅黑" w:hAnsi="微软雅黑" w:eastAsia="微软雅黑" w:cs="微软雅黑"/>
          <w:sz w:val="24"/>
          <w:szCs w:val="24"/>
        </w:rPr>
      </w:pPr>
      <w:bookmarkStart w:id="86" w:name="_Toc1527"/>
      <w:bookmarkStart w:id="87" w:name="_Toc54353632"/>
      <w:r>
        <w:rPr>
          <w:rFonts w:hint="eastAsia" w:ascii="微软雅黑" w:hAnsi="微软雅黑" w:eastAsia="微软雅黑" w:cs="微软雅黑"/>
          <w:sz w:val="24"/>
          <w:szCs w:val="24"/>
        </w:rPr>
        <w:t>六、关于质疑和投诉</w:t>
      </w:r>
      <w:bookmarkEnd w:id="86"/>
      <w:bookmarkEnd w:id="87"/>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（一）质疑</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供应商认为采购文件、采购过程和成交结果使自己的权益收到伤害的，可向采购人以书面形式提出质疑。</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提出质疑的应当是参与所质疑项目采购活动的供应商。 </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1.质疑时限、内容</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供应商认为采购文件、采购过程、成交结果使自己的权益受到损害的，可以在知道或者应知其权益受到损害之日起7个工作日内，以书面形式向采购人、采购代理机构提出质疑。</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1.2.2质疑项目的名称、项目号以及比选项目编号；</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1.2.4事实依据；</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1.2.5必要的法律依据；</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1.2.6提出质疑的日期；</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1.2.7营业执照（或事业单位法人证书，或个体工商户营业执照或有效的自然人身份证明）复印件；</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2.质疑答复</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采购人应当在收到供应商的书面质疑后七个工作日内作出答复，并以书面形式通知质疑供应商和其他有关供应商。</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3.其他</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（二）投诉</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1.供应商对采购人的答复不满意，或者采购人未在规定时间内作出答复的，可以在答复期满后15个工作日内按照相关法律法规向财政部门提起投诉。</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pPr>
        <w:spacing w:line="500" w:lineRule="exact"/>
        <w:ind w:right="12" w:firstLine="480" w:firstLineChars="200"/>
        <w:rPr>
          <w:rFonts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rPr>
        <w:t>4.在确定受理投诉后，财政部门自受理投诉之日起30个工作日内（需要检验、检测、鉴定、专家评审以及需要投诉人补正材料的，所需时间不计算在投诉处理期限内）对投诉事项做出处理决定。</w:t>
      </w:r>
    </w:p>
    <w:p>
      <w:pPr>
        <w:pStyle w:val="5"/>
        <w:spacing w:before="0" w:after="0" w:line="500" w:lineRule="exact"/>
        <w:ind w:firstLine="480" w:firstLineChars="200"/>
        <w:rPr>
          <w:rFonts w:ascii="微软雅黑" w:hAnsi="微软雅黑" w:eastAsia="微软雅黑" w:cs="微软雅黑"/>
          <w:sz w:val="24"/>
          <w:szCs w:val="24"/>
        </w:rPr>
      </w:pPr>
      <w:bookmarkStart w:id="88" w:name="_Toc6164"/>
      <w:bookmarkStart w:id="89" w:name="_Toc16978"/>
      <w:bookmarkStart w:id="90" w:name="_Toc28328"/>
      <w:bookmarkStart w:id="91" w:name="_Toc428437956"/>
      <w:bookmarkStart w:id="92" w:name="_Toc31869"/>
      <w:bookmarkStart w:id="93" w:name="_Toc1561"/>
      <w:bookmarkStart w:id="94" w:name="_Toc391"/>
      <w:bookmarkStart w:id="95" w:name="_Toc23803"/>
      <w:bookmarkStart w:id="96" w:name="_Toc12502"/>
      <w:bookmarkStart w:id="97" w:name="_Toc102227322"/>
      <w:bookmarkStart w:id="98" w:name="_Toc54353635"/>
      <w:bookmarkStart w:id="99" w:name="_Toc342913396"/>
      <w:bookmarkStart w:id="100" w:name="_Toc12789059"/>
      <w:bookmarkStart w:id="101" w:name="_Toc11641055"/>
      <w:r>
        <w:rPr>
          <w:rFonts w:hint="eastAsia" w:ascii="微软雅黑" w:hAnsi="微软雅黑" w:eastAsia="微软雅黑" w:cs="微软雅黑"/>
          <w:sz w:val="24"/>
          <w:szCs w:val="24"/>
        </w:rPr>
        <w:t>七、采购代理服务费</w:t>
      </w:r>
      <w:bookmarkEnd w:id="88"/>
      <w:bookmarkEnd w:id="89"/>
      <w:bookmarkEnd w:id="90"/>
      <w:bookmarkEnd w:id="91"/>
      <w:bookmarkEnd w:id="92"/>
      <w:bookmarkEnd w:id="93"/>
      <w:bookmarkEnd w:id="94"/>
      <w:bookmarkEnd w:id="95"/>
      <w:bookmarkEnd w:id="96"/>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0"/>
        </w:rPr>
        <w:t>1.成交供应商在领取成交通知书的同时，采购代理机构按采购代理委托协议的约定向成交供应商收取采购代理服务费。成交供应商应到采购代理机构缴纳采购代理服务费。以中标金额为基数，按原《国家计委关于印发〈招标代理服务收费管理暂行办法〉的通知（计价格[2002]1980号）》、《国家发展改革委办公厅关</w:t>
      </w:r>
      <w:r>
        <w:rPr>
          <w:rFonts w:hint="eastAsia" w:ascii="微软雅黑" w:hAnsi="微软雅黑" w:eastAsia="微软雅黑" w:cs="微软雅黑"/>
          <w:sz w:val="24"/>
          <w:szCs w:val="24"/>
        </w:rPr>
        <w:t>于招标代理服务收费有关问题的通知（发改办价格[2003]857号）》和《国家发展改革委关于降低部分建设项目收费标准规范收费行为等有关问题的通知（发改价格[2011]534号）》规定收费标准执行。计算出的金额不足5000元时，按5000元收取。</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2.服务费以现金形式支付。</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3.成交供应商如未按上述规定缴付采购代理服务费，其保证金将不予退还。</w:t>
      </w:r>
    </w:p>
    <w:p>
      <w:pPr>
        <w:spacing w:line="500" w:lineRule="exact"/>
        <w:ind w:firstLine="480" w:firstLineChars="200"/>
      </w:pPr>
      <w:r>
        <w:rPr>
          <w:rFonts w:hint="eastAsia" w:ascii="微软雅黑" w:hAnsi="微软雅黑" w:eastAsia="微软雅黑" w:cs="微软雅黑"/>
          <w:sz w:val="24"/>
          <w:szCs w:val="24"/>
        </w:rPr>
        <w:t>4.如因疫情等不可抗力因素导致成交供应商未与采购人签订合同，其服务费不予退还。</w:t>
      </w:r>
    </w:p>
    <w:p>
      <w:pPr>
        <w:pStyle w:val="5"/>
        <w:spacing w:before="0" w:after="0" w:line="500" w:lineRule="exact"/>
        <w:ind w:firstLine="480" w:firstLineChars="200"/>
        <w:rPr>
          <w:rFonts w:ascii="微软雅黑" w:hAnsi="微软雅黑" w:eastAsia="微软雅黑" w:cs="微软雅黑"/>
          <w:sz w:val="24"/>
          <w:szCs w:val="24"/>
        </w:rPr>
      </w:pPr>
      <w:bookmarkStart w:id="102" w:name="_Toc11441"/>
      <w:r>
        <w:rPr>
          <w:rFonts w:hint="eastAsia" w:ascii="微软雅黑" w:hAnsi="微软雅黑" w:eastAsia="微软雅黑" w:cs="微软雅黑"/>
          <w:sz w:val="24"/>
          <w:szCs w:val="24"/>
        </w:rPr>
        <w:t>八、签订</w:t>
      </w:r>
      <w:bookmarkEnd w:id="97"/>
      <w:r>
        <w:rPr>
          <w:rFonts w:hint="eastAsia" w:ascii="微软雅黑" w:hAnsi="微软雅黑" w:eastAsia="微软雅黑" w:cs="微软雅黑"/>
          <w:sz w:val="24"/>
          <w:szCs w:val="24"/>
        </w:rPr>
        <w:t>合同</w:t>
      </w:r>
      <w:bookmarkEnd w:id="98"/>
      <w:bookmarkEnd w:id="99"/>
      <w:bookmarkEnd w:id="102"/>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采购人应当自成交通知书发出之日起三十日内，按照竞争性比选文件和成交供应商响应文件的约定，与成交供应商签订书面合同。所签订的合同不得对竞争性比选文件和供应商的响应文件作实质性修改。其他未尽事宜由采购人和成交供应商在采购合同中详细约定。</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（二）竞争性比选文件、供应商的响应文件及澄清文件等，均为签订采购合同的依据。</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（三）合同生效条款由供需双方约定，法律、行政法规规定应当办理批准、登记等手续后生效的合同，依照其规定。</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（四）合同原则上应按照《重庆市政府采购合同》签订，相关单位要求适用合同通用格式版本的，应按其要求另行签订其他合同。</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（五）采购人要求成交供应商提供履约保证金的，应当在竞争性比选文件中予以约定。成交供应商履约完毕后，采购人根据采购文件规定无息退还其履约保证金。</w:t>
      </w:r>
    </w:p>
    <w:p>
      <w:pPr>
        <w:pStyle w:val="4"/>
        <w:spacing w:line="500" w:lineRule="exact"/>
        <w:ind w:firstLine="0" w:firstLineChars="0"/>
        <w:jc w:val="center"/>
        <w:rPr>
          <w:rFonts w:ascii="微软雅黑" w:hAnsi="微软雅黑" w:eastAsia="微软雅黑" w:cs="微软雅黑"/>
          <w:sz w:val="36"/>
          <w:szCs w:val="30"/>
        </w:rPr>
      </w:pPr>
      <w:r>
        <w:rPr>
          <w:rFonts w:hint="eastAsia" w:ascii="微软雅黑" w:hAnsi="微软雅黑" w:eastAsia="微软雅黑" w:cs="微软雅黑"/>
          <w:sz w:val="36"/>
          <w:szCs w:val="30"/>
        </w:rPr>
        <w:br w:type="page"/>
      </w:r>
      <w:bookmarkStart w:id="103" w:name="_Toc54353637"/>
      <w:bookmarkStart w:id="104" w:name="_Toc20058"/>
      <w:r>
        <w:rPr>
          <w:rFonts w:hint="eastAsia" w:ascii="微软雅黑" w:hAnsi="微软雅黑" w:eastAsia="微软雅黑" w:cs="微软雅黑"/>
          <w:sz w:val="36"/>
          <w:szCs w:val="30"/>
        </w:rPr>
        <w:t xml:space="preserve">第六篇  </w:t>
      </w:r>
      <w:bookmarkEnd w:id="100"/>
      <w:bookmarkEnd w:id="101"/>
      <w:r>
        <w:rPr>
          <w:rFonts w:hint="eastAsia" w:ascii="微软雅黑" w:hAnsi="微软雅黑" w:eastAsia="微软雅黑" w:cs="微软雅黑"/>
          <w:sz w:val="36"/>
          <w:szCs w:val="30"/>
        </w:rPr>
        <w:t>采购合同</w:t>
      </w:r>
      <w:bookmarkEnd w:id="103"/>
      <w:bookmarkEnd w:id="104"/>
    </w:p>
    <w:p>
      <w:pPr>
        <w:spacing w:line="500" w:lineRule="exact"/>
        <w:jc w:val="center"/>
        <w:rPr>
          <w:rFonts w:ascii="微软雅黑" w:hAnsi="微软雅黑" w:eastAsia="微软雅黑" w:cs="微软雅黑"/>
          <w:b/>
          <w:szCs w:val="28"/>
        </w:rPr>
      </w:pPr>
      <w:r>
        <w:rPr>
          <w:rFonts w:hint="eastAsia" w:ascii="微软雅黑" w:hAnsi="微软雅黑" w:eastAsia="微软雅黑" w:cs="微软雅黑"/>
          <w:b/>
          <w:szCs w:val="28"/>
        </w:rPr>
        <w:t>（格式自定）</w:t>
      </w:r>
    </w:p>
    <w:p>
      <w:pPr>
        <w:spacing w:line="360" w:lineRule="auto"/>
        <w:jc w:val="center"/>
        <w:rPr>
          <w:rFonts w:ascii="Arial" w:hAnsi="Arial" w:eastAsia="方正楷体_GBK"/>
          <w:sz w:val="32"/>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spacing w:line="500" w:lineRule="exact"/>
        <w:jc w:val="center"/>
        <w:rPr>
          <w:rFonts w:ascii="微软雅黑" w:hAnsi="微软雅黑" w:eastAsia="微软雅黑" w:cs="微软雅黑"/>
          <w:b/>
          <w:sz w:val="44"/>
        </w:rPr>
      </w:pPr>
    </w:p>
    <w:p>
      <w:pPr>
        <w:pStyle w:val="4"/>
        <w:spacing w:before="0" w:after="0" w:line="360" w:lineRule="auto"/>
        <w:ind w:firstLine="720"/>
        <w:jc w:val="center"/>
        <w:rPr>
          <w:rFonts w:ascii="微软雅黑" w:hAnsi="微软雅黑" w:eastAsia="微软雅黑" w:cs="微软雅黑"/>
          <w:sz w:val="36"/>
          <w:szCs w:val="30"/>
        </w:rPr>
      </w:pPr>
      <w:bookmarkStart w:id="105" w:name="_Hlt41879464"/>
      <w:bookmarkEnd w:id="105"/>
      <w:bookmarkStart w:id="106" w:name="_Toc18879"/>
      <w:bookmarkStart w:id="107" w:name="_Toc54353638"/>
      <w:r>
        <w:rPr>
          <w:rFonts w:hint="eastAsia" w:ascii="微软雅黑" w:hAnsi="微软雅黑" w:eastAsia="微软雅黑" w:cs="微软雅黑"/>
          <w:sz w:val="36"/>
          <w:szCs w:val="30"/>
        </w:rPr>
        <w:t>第七篇  响应文件编制要求</w:t>
      </w:r>
      <w:bookmarkEnd w:id="106"/>
      <w:bookmarkEnd w:id="107"/>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一、经济部分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（一）竞争性比选报价函</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二、服务部分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（一）服务方案</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三、商务部分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（一）商务要求响应情况：服务期及地点、报价要求、质量保证及售后服务等。</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（二）商务响应偏离表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（三）其它优惠服务承诺</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（五）特定资格条件证书或证明文件</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说明：供应商按“多证合一”登记制度办理营业执照的，税务登记证（副本）和社会保险登记证以供应商所提供的营业执照（副本）复印件为准。</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五、其他资料</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其他与项目有关的资料</w:t>
      </w:r>
    </w:p>
    <w:p>
      <w:pPr>
        <w:snapToGrid w:val="0"/>
        <w:spacing w:line="360" w:lineRule="auto"/>
        <w:rPr>
          <w:rFonts w:ascii="微软雅黑" w:hAnsi="微软雅黑" w:eastAsia="微软雅黑" w:cs="微软雅黑"/>
          <w:sz w:val="24"/>
          <w:szCs w:val="24"/>
          <w:bdr w:val="single" w:color="auto" w:sz="4" w:space="0"/>
        </w:rPr>
        <w:sectPr>
          <w:footerReference r:id="rId5" w:type="default"/>
          <w:pgSz w:w="11907" w:h="16840"/>
          <w:pgMar w:top="1134" w:right="1191" w:bottom="1134" w:left="1304" w:header="851" w:footer="992" w:gutter="0"/>
          <w:cols w:space="720" w:num="1"/>
          <w:docGrid w:linePitch="380" w:charSpace="-5735"/>
        </w:sectPr>
      </w:pPr>
    </w:p>
    <w:p>
      <w:pPr>
        <w:pStyle w:val="5"/>
        <w:spacing w:before="0" w:after="0" w:line="500" w:lineRule="exact"/>
        <w:rPr>
          <w:rFonts w:ascii="微软雅黑" w:hAnsi="微软雅黑" w:eastAsia="微软雅黑" w:cs="微软雅黑"/>
          <w:sz w:val="24"/>
          <w:szCs w:val="24"/>
        </w:rPr>
      </w:pPr>
      <w:bookmarkStart w:id="108" w:name="_Toc283382454"/>
      <w:bookmarkStart w:id="109" w:name="_Toc12789073"/>
      <w:bookmarkStart w:id="110" w:name="_Toc54353639"/>
      <w:bookmarkStart w:id="111" w:name="_Toc342913419"/>
      <w:bookmarkStart w:id="112" w:name="_Toc313888360"/>
      <w:bookmarkStart w:id="113" w:name="_Toc5221"/>
      <w:bookmarkStart w:id="114" w:name="_Toc313008356"/>
      <w:r>
        <w:rPr>
          <w:rFonts w:hint="eastAsia" w:ascii="微软雅黑" w:hAnsi="微软雅黑" w:eastAsia="微软雅黑" w:cs="微软雅黑"/>
          <w:sz w:val="24"/>
          <w:szCs w:val="24"/>
        </w:rPr>
        <w:t>一、经济部分</w:t>
      </w:r>
      <w:bookmarkEnd w:id="108"/>
      <w:bookmarkEnd w:id="109"/>
      <w:bookmarkEnd w:id="110"/>
      <w:bookmarkEnd w:id="111"/>
      <w:bookmarkEnd w:id="112"/>
      <w:bookmarkEnd w:id="113"/>
      <w:bookmarkEnd w:id="114"/>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（一）竞争性比选报价函</w:t>
      </w:r>
    </w:p>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报价函</w:t>
      </w:r>
    </w:p>
    <w:p>
      <w:pPr>
        <w:tabs>
          <w:tab w:val="left" w:pos="6300"/>
        </w:tabs>
        <w:snapToGrid w:val="0"/>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u w:val="single"/>
        </w:rPr>
        <w:t>（采购人名称）</w:t>
      </w:r>
      <w:r>
        <w:rPr>
          <w:rFonts w:hint="eastAsia" w:ascii="微软雅黑" w:hAnsi="微软雅黑" w:eastAsia="微软雅黑" w:cs="微软雅黑"/>
          <w:sz w:val="24"/>
          <w:szCs w:val="24"/>
        </w:rPr>
        <w:t>：</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我方收到____________________________（比选项目名称）的竞争性比选文件，经详细研究，决定参加该项目的比选。</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1.愿意按照竞争性比选文件中的一切要求，提供本项目的服务，报价为人民币大写：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3.我方承诺：本次比选的有效期为提交响应文件截止时间起90天。</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4.我方完全理解和接受贵方竞争性比选文件的一切规定和要求及评审办法。</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5.在整个竞争性比选过程中，我方若有违规行为，接受按照《中华人民共和国政府采购法》和《竞争性比选文件》之规定给予惩罚。</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00" w:lineRule="exact"/>
        <w:ind w:firstLine="480" w:firstLineChars="200"/>
      </w:pPr>
      <w:r>
        <w:rPr>
          <w:rFonts w:hint="eastAsia" w:ascii="微软雅黑" w:hAnsi="微软雅黑" w:eastAsia="微软雅黑" w:cs="微软雅黑"/>
          <w:sz w:val="24"/>
          <w:szCs w:val="24"/>
        </w:rPr>
        <w:t>7、如果我方成为成交供应商，保证在接到成交通知书后，向采购代理机构按竞争性比选文件规定缴纳采购代理服务费。</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8.我方未为采购项目提供整体设计、规范编制或者项目管理、监理、检测等服务。</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供应商（公章）：</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电话：                                             传真：</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网址：                                             邮编：</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联系人：</w:t>
      </w:r>
    </w:p>
    <w:p>
      <w:pPr>
        <w:snapToGrid w:val="0"/>
        <w:spacing w:line="500" w:lineRule="exact"/>
        <w:ind w:firstLine="480" w:firstLineChars="200"/>
        <w:rPr>
          <w:rFonts w:ascii="微软雅黑" w:hAnsi="微软雅黑" w:eastAsia="微软雅黑" w:cs="微软雅黑"/>
          <w:sz w:val="24"/>
          <w:szCs w:val="24"/>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sz w:val="24"/>
          <w:szCs w:val="24"/>
        </w:rPr>
        <w:t xml:space="preserve">                                                  年   月   日</w:t>
      </w:r>
    </w:p>
    <w:p>
      <w:pPr>
        <w:tabs>
          <w:tab w:val="left" w:pos="2895"/>
        </w:tabs>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明细报价表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比选项目编号：</w:t>
      </w:r>
    </w:p>
    <w:p>
      <w:pPr>
        <w:spacing w:line="500" w:lineRule="exact"/>
        <w:rPr>
          <w:rFonts w:ascii="微软雅黑" w:hAnsi="微软雅黑" w:eastAsia="微软雅黑" w:cs="微软雅黑"/>
          <w:sz w:val="24"/>
          <w:szCs w:val="24"/>
          <w:u w:val="single"/>
        </w:rPr>
      </w:pPr>
      <w:r>
        <w:rPr>
          <w:rFonts w:hint="eastAsia" w:ascii="微软雅黑" w:hAnsi="微软雅黑" w:eastAsia="微软雅黑" w:cs="微软雅黑"/>
          <w:sz w:val="24"/>
          <w:szCs w:val="24"/>
        </w:rPr>
        <w:t xml:space="preserve">比选项目名称：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57"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3127"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相关信息</w:t>
            </w:r>
          </w:p>
        </w:tc>
        <w:tc>
          <w:tcPr>
            <w:tcW w:w="1235"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35"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w:t>
            </w:r>
          </w:p>
        </w:tc>
        <w:tc>
          <w:tcPr>
            <w:tcW w:w="1235" w:type="dxa"/>
            <w:vAlign w:val="center"/>
          </w:tcPr>
          <w:p>
            <w:pPr>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7</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8</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9</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1557" w:type="dxa"/>
            <w:vAlign w:val="center"/>
          </w:tcPr>
          <w:p>
            <w:pPr>
              <w:spacing w:line="500" w:lineRule="exact"/>
              <w:jc w:val="center"/>
              <w:rPr>
                <w:rFonts w:ascii="微软雅黑" w:hAnsi="微软雅黑" w:eastAsia="微软雅黑" w:cs="微软雅黑"/>
                <w:sz w:val="24"/>
                <w:szCs w:val="24"/>
              </w:rPr>
            </w:pP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557"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3127" w:type="dxa"/>
          </w:tcPr>
          <w:p>
            <w:pPr>
              <w:spacing w:line="500" w:lineRule="exact"/>
              <w:jc w:val="center"/>
              <w:rPr>
                <w:rFonts w:ascii="微软雅黑" w:hAnsi="微软雅黑" w:eastAsia="微软雅黑" w:cs="微软雅黑"/>
                <w:sz w:val="24"/>
                <w:szCs w:val="24"/>
              </w:rPr>
            </w:pPr>
          </w:p>
        </w:tc>
        <w:tc>
          <w:tcPr>
            <w:tcW w:w="1235"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tcPr>
          <w:p>
            <w:pPr>
              <w:spacing w:line="500" w:lineRule="exact"/>
              <w:jc w:val="center"/>
              <w:rPr>
                <w:rFonts w:ascii="微软雅黑" w:hAnsi="微软雅黑" w:eastAsia="微软雅黑" w:cs="微软雅黑"/>
                <w:sz w:val="24"/>
                <w:szCs w:val="24"/>
              </w:rPr>
            </w:pPr>
          </w:p>
        </w:tc>
        <w:tc>
          <w:tcPr>
            <w:tcW w:w="1235" w:type="dxa"/>
          </w:tcPr>
          <w:p>
            <w:pPr>
              <w:spacing w:line="500" w:lineRule="exact"/>
              <w:jc w:val="center"/>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500" w:lineRule="exact"/>
              <w:ind w:left="3920"/>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1557"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总计</w:t>
            </w:r>
          </w:p>
        </w:tc>
        <w:tc>
          <w:tcPr>
            <w:tcW w:w="6832" w:type="dxa"/>
            <w:gridSpan w:val="4"/>
          </w:tcPr>
          <w:p>
            <w:pPr>
              <w:spacing w:line="500" w:lineRule="exact"/>
              <w:rPr>
                <w:rFonts w:ascii="微软雅黑" w:hAnsi="微软雅黑" w:eastAsia="微软雅黑" w:cs="微软雅黑"/>
                <w:sz w:val="24"/>
                <w:szCs w:val="24"/>
              </w:rPr>
            </w:pPr>
          </w:p>
        </w:tc>
      </w:tr>
    </w:tbl>
    <w:p>
      <w:pPr>
        <w:snapToGrid w:val="0"/>
        <w:spacing w:line="500" w:lineRule="exact"/>
        <w:ind w:firstLine="480" w:firstLineChars="200"/>
        <w:rPr>
          <w:rFonts w:ascii="微软雅黑" w:hAnsi="微软雅黑" w:eastAsia="微软雅黑" w:cs="微软雅黑"/>
          <w:sz w:val="24"/>
          <w:szCs w:val="24"/>
        </w:rPr>
      </w:pPr>
    </w:p>
    <w:p>
      <w:pPr>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注：1.供应商应完整填写本表。</w:t>
      </w:r>
    </w:p>
    <w:p>
      <w:pPr>
        <w:snapToGrid w:val="0"/>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2.该表可按供应商实际规划修改扩展</w:t>
      </w:r>
      <w:bookmarkStart w:id="115" w:name="OLE_LINK2"/>
      <w:bookmarkStart w:id="116" w:name="OLE_LINK1"/>
      <w:r>
        <w:rPr>
          <w:rFonts w:hint="eastAsia" w:ascii="微软雅黑" w:hAnsi="微软雅黑" w:eastAsia="微软雅黑" w:cs="微软雅黑"/>
          <w:sz w:val="24"/>
          <w:szCs w:val="24"/>
        </w:rPr>
        <w:t>，并逐页签字或盖章。</w:t>
      </w:r>
      <w:bookmarkEnd w:id="115"/>
      <w:bookmarkEnd w:id="116"/>
    </w:p>
    <w:p>
      <w:pPr>
        <w:pStyle w:val="2"/>
        <w:spacing w:line="500" w:lineRule="exact"/>
        <w:rPr>
          <w:rFonts w:ascii="微软雅黑" w:hAnsi="微软雅黑" w:eastAsia="微软雅黑" w:cs="微软雅黑"/>
          <w:sz w:val="24"/>
          <w:szCs w:val="24"/>
        </w:rPr>
      </w:pPr>
    </w:p>
    <w:p>
      <w:pPr>
        <w:pStyle w:val="2"/>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rPr>
          <w:rFonts w:ascii="微软雅黑" w:hAnsi="微软雅黑" w:eastAsia="微软雅黑" w:cs="微软雅黑"/>
          <w:sz w:val="24"/>
          <w:szCs w:val="24"/>
        </w:rPr>
      </w:pPr>
    </w:p>
    <w:p>
      <w:pPr>
        <w:spacing w:line="500" w:lineRule="exact"/>
        <w:rPr>
          <w:rFonts w:ascii="微软雅黑" w:hAnsi="微软雅黑" w:eastAsia="微软雅黑" w:cs="微软雅黑"/>
          <w:sz w:val="24"/>
          <w:szCs w:val="24"/>
        </w:rPr>
      </w:pP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供应商名称（公章）：</w:t>
      </w:r>
    </w:p>
    <w:p>
      <w:pPr>
        <w:spacing w:line="500" w:lineRule="exact"/>
        <w:ind w:right="480" w:firstLine="6480" w:firstLineChars="2700"/>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snapToGrid w:val="0"/>
        <w:spacing w:line="500" w:lineRule="exact"/>
        <w:ind w:firstLine="480" w:firstLineChars="200"/>
        <w:rPr>
          <w:rFonts w:ascii="微软雅黑" w:hAnsi="微软雅黑" w:eastAsia="微软雅黑" w:cs="微软雅黑"/>
          <w:sz w:val="24"/>
          <w:szCs w:val="24"/>
          <w:bdr w:val="single" w:color="auto" w:sz="4" w:space="0"/>
        </w:rPr>
        <w:sectPr>
          <w:headerReference r:id="rId6" w:type="default"/>
          <w:pgSz w:w="11907" w:h="16840"/>
          <w:pgMar w:top="1134" w:right="1191" w:bottom="1134" w:left="1304" w:header="851" w:footer="992" w:gutter="0"/>
          <w:cols w:space="720" w:num="1"/>
          <w:docGrid w:linePitch="380" w:charSpace="-5735"/>
        </w:sectPr>
      </w:pPr>
    </w:p>
    <w:p>
      <w:pPr>
        <w:pStyle w:val="5"/>
        <w:spacing w:before="0" w:after="0" w:line="500" w:lineRule="exact"/>
        <w:rPr>
          <w:rFonts w:ascii="微软雅黑" w:hAnsi="微软雅黑" w:eastAsia="微软雅黑" w:cs="微软雅黑"/>
          <w:sz w:val="24"/>
          <w:szCs w:val="24"/>
        </w:rPr>
      </w:pPr>
      <w:bookmarkStart w:id="117" w:name="_Toc313888361"/>
      <w:bookmarkStart w:id="118" w:name="_Toc313008357"/>
      <w:bookmarkStart w:id="119" w:name="_Toc342913420"/>
      <w:bookmarkStart w:id="120" w:name="_Toc54353640"/>
      <w:bookmarkStart w:id="121" w:name="_Toc9256"/>
      <w:r>
        <w:rPr>
          <w:rFonts w:hint="eastAsia" w:ascii="微软雅黑" w:hAnsi="微软雅黑" w:eastAsia="微软雅黑" w:cs="微软雅黑"/>
          <w:sz w:val="24"/>
          <w:szCs w:val="24"/>
        </w:rPr>
        <w:t>二、服务部分</w:t>
      </w:r>
      <w:bookmarkEnd w:id="117"/>
      <w:bookmarkEnd w:id="118"/>
      <w:bookmarkEnd w:id="119"/>
      <w:bookmarkEnd w:id="120"/>
      <w:bookmarkEnd w:id="121"/>
    </w:p>
    <w:p>
      <w:pPr>
        <w:snapToGrid w:val="0"/>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（一）服务方案（格式自定）</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（二）服务响应偏离表</w:t>
      </w:r>
    </w:p>
    <w:p>
      <w:pPr>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比选项目名称：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竞争性比选要求</w:t>
            </w: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竞标应答</w:t>
            </w: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658"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759"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c>
          <w:tcPr>
            <w:tcW w:w="2067" w:type="dxa"/>
            <w:vAlign w:val="center"/>
          </w:tcPr>
          <w:p>
            <w:pPr>
              <w:tabs>
                <w:tab w:val="left" w:pos="6300"/>
              </w:tabs>
              <w:snapToGrid w:val="0"/>
              <w:spacing w:line="500" w:lineRule="exact"/>
              <w:jc w:val="center"/>
              <w:outlineLvl w:val="0"/>
              <w:rPr>
                <w:rFonts w:ascii="微软雅黑" w:hAnsi="微软雅黑" w:eastAsia="微软雅黑" w:cs="微软雅黑"/>
                <w:sz w:val="24"/>
                <w:szCs w:val="24"/>
              </w:rPr>
            </w:pPr>
          </w:p>
        </w:tc>
      </w:tr>
    </w:tbl>
    <w:p>
      <w:pPr>
        <w:spacing w:line="5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供应商：                                      法定代表人授权代表：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（供应商公章）                               （签字或盖章）</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1.本表即为对本项目“第二篇  项目服务需求”中所列服务要求进行比较和响应；</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3.该表可扩展，并逐页签字或盖章；</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4.可附相关支撑材料。（格式自定）</w:t>
      </w:r>
    </w:p>
    <w:p>
      <w:pPr>
        <w:pStyle w:val="5"/>
        <w:spacing w:before="0" w:after="0" w:line="500" w:lineRule="exact"/>
        <w:rPr>
          <w:rFonts w:ascii="微软雅黑" w:hAnsi="微软雅黑" w:eastAsia="微软雅黑" w:cs="微软雅黑"/>
          <w:sz w:val="24"/>
          <w:szCs w:val="24"/>
        </w:rPr>
      </w:pPr>
      <w:r>
        <w:rPr>
          <w:rFonts w:hint="eastAsia" w:ascii="微软雅黑" w:hAnsi="微软雅黑" w:eastAsia="微软雅黑" w:cs="微软雅黑"/>
          <w:b w:val="0"/>
          <w:sz w:val="24"/>
          <w:szCs w:val="24"/>
        </w:rPr>
        <w:br w:type="page"/>
      </w:r>
      <w:bookmarkStart w:id="122" w:name="_Toc29488"/>
      <w:bookmarkStart w:id="123" w:name="_Toc313888362"/>
      <w:bookmarkStart w:id="124" w:name="_Toc54353641"/>
      <w:bookmarkStart w:id="125" w:name="_Toc342913421"/>
      <w:bookmarkStart w:id="126" w:name="_Toc313008358"/>
      <w:r>
        <w:rPr>
          <w:rFonts w:hint="eastAsia" w:ascii="微软雅黑" w:hAnsi="微软雅黑" w:eastAsia="微软雅黑" w:cs="微软雅黑"/>
          <w:sz w:val="24"/>
          <w:szCs w:val="24"/>
        </w:rPr>
        <w:t>三、商务部分</w:t>
      </w:r>
      <w:bookmarkEnd w:id="122"/>
      <w:bookmarkEnd w:id="123"/>
      <w:bookmarkEnd w:id="124"/>
      <w:bookmarkEnd w:id="125"/>
      <w:bookmarkEnd w:id="126"/>
    </w:p>
    <w:p>
      <w:pPr>
        <w:snapToGrid w:val="0"/>
        <w:spacing w:line="500" w:lineRule="exact"/>
        <w:ind w:firstLine="480" w:firstLineChars="200"/>
        <w:rPr>
          <w:rFonts w:ascii="微软雅黑" w:hAnsi="微软雅黑" w:eastAsia="微软雅黑" w:cs="微软雅黑"/>
          <w:b/>
          <w:sz w:val="24"/>
          <w:szCs w:val="24"/>
        </w:rPr>
        <w:sectPr>
          <w:pgSz w:w="11907" w:h="16840"/>
          <w:pgMar w:top="1134" w:right="1191" w:bottom="1134" w:left="1304" w:header="851" w:footer="992" w:gutter="0"/>
          <w:cols w:space="720" w:num="1"/>
          <w:docGrid w:linePitch="380" w:charSpace="-5735"/>
        </w:sectPr>
      </w:pPr>
      <w:r>
        <w:rPr>
          <w:rFonts w:hint="eastAsia" w:ascii="微软雅黑" w:hAnsi="微软雅黑" w:eastAsia="微软雅黑" w:cs="微软雅黑"/>
          <w:sz w:val="24"/>
          <w:szCs w:val="24"/>
        </w:rPr>
        <w:t>（一）商务要求响应情况：服务期及地点、报价要求、质量保证及售后服务等（格式自定）</w:t>
      </w:r>
    </w:p>
    <w:p>
      <w:pPr>
        <w:spacing w:line="500" w:lineRule="exact"/>
        <w:ind w:firstLine="480" w:firstLineChars="200"/>
        <w:rPr>
          <w:rFonts w:ascii="微软雅黑" w:hAnsi="微软雅黑" w:eastAsia="微软雅黑" w:cs="微软雅黑"/>
          <w:sz w:val="24"/>
          <w:szCs w:val="24"/>
        </w:rPr>
      </w:pPr>
      <w:bookmarkStart w:id="127" w:name="_Toc283382459"/>
      <w:r>
        <w:rPr>
          <w:rFonts w:hint="eastAsia" w:ascii="微软雅黑" w:hAnsi="微软雅黑" w:eastAsia="微软雅黑" w:cs="微软雅黑"/>
          <w:sz w:val="24"/>
          <w:szCs w:val="24"/>
        </w:rPr>
        <w:t>（二）商务响应偏离表</w:t>
      </w:r>
    </w:p>
    <w:p>
      <w:pPr>
        <w:snapToGrid w:val="0"/>
        <w:spacing w:line="360" w:lineRule="auto"/>
        <w:jc w:val="center"/>
        <w:rPr>
          <w:rFonts w:ascii="微软雅黑" w:hAnsi="微软雅黑" w:eastAsia="微软雅黑" w:cs="微软雅黑"/>
          <w:b/>
          <w:szCs w:val="28"/>
        </w:rPr>
      </w:pPr>
      <w:r>
        <w:rPr>
          <w:rFonts w:hint="eastAsia" w:ascii="微软雅黑" w:hAnsi="微软雅黑" w:eastAsia="微软雅黑" w:cs="微软雅黑"/>
          <w:b/>
          <w:szCs w:val="28"/>
        </w:rPr>
        <w:t>商务响应偏离表</w:t>
      </w:r>
    </w:p>
    <w:p>
      <w:pPr>
        <w:spacing w:line="4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项目号：                                比选项目编号：</w:t>
      </w:r>
    </w:p>
    <w:p>
      <w:pPr>
        <w:snapToGrid w:val="0"/>
        <w:spacing w:line="4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 xml:space="preserve">比选项目名称：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竞争性比选商务需求</w:t>
            </w: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竞标商务应答</w:t>
            </w: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r>
              <w:rPr>
                <w:rFonts w:hint="eastAsia" w:ascii="微软雅黑" w:hAnsi="微软雅黑" w:eastAsia="微软雅黑" w:cs="微软雅黑"/>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3179"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434"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c>
          <w:tcPr>
            <w:tcW w:w="2355" w:type="dxa"/>
            <w:vAlign w:val="center"/>
          </w:tcPr>
          <w:p>
            <w:pPr>
              <w:tabs>
                <w:tab w:val="left" w:pos="6300"/>
              </w:tabs>
              <w:snapToGrid w:val="0"/>
              <w:spacing w:line="360" w:lineRule="auto"/>
              <w:jc w:val="center"/>
              <w:outlineLvl w:val="0"/>
              <w:rPr>
                <w:rFonts w:ascii="微软雅黑" w:hAnsi="微软雅黑" w:eastAsia="微软雅黑" w:cs="微软雅黑"/>
                <w:sz w:val="24"/>
                <w:szCs w:val="24"/>
              </w:rPr>
            </w:pPr>
          </w:p>
        </w:tc>
      </w:tr>
    </w:tbl>
    <w:p>
      <w:pPr>
        <w:snapToGrid w:val="0"/>
        <w:spacing w:line="360" w:lineRule="auto"/>
        <w:ind w:firstLine="465"/>
        <w:rPr>
          <w:rFonts w:ascii="微软雅黑" w:hAnsi="微软雅黑" w:eastAsia="微软雅黑" w:cs="微软雅黑"/>
          <w:sz w:val="24"/>
          <w:szCs w:val="24"/>
        </w:rPr>
      </w:pPr>
    </w:p>
    <w:p>
      <w:pPr>
        <w:spacing w:line="500" w:lineRule="exac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供应商：                                      法定代表人授权代表：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（供应商公章）                                 （签字或盖章）</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1.本表即为对本项目“第三篇 项目商务需求”中所列服务要求进行比较和响应；</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2.该表必须按照竞争性比选要求逐条如实填写，根据响应情况在“差异说明”项填写正偏离或负偏离及原因，完全符合的填写“无差异”；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3.该表可扩展，并逐页签字或盖章。</w:t>
      </w:r>
    </w:p>
    <w:p>
      <w:pPr>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（三）其它优惠承诺（格式自定）</w:t>
      </w:r>
    </w:p>
    <w:p>
      <w:pPr>
        <w:pStyle w:val="5"/>
        <w:spacing w:before="0" w:after="0"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bookmarkEnd w:id="127"/>
      <w:bookmarkStart w:id="128" w:name="_Toc54353642"/>
      <w:bookmarkStart w:id="129" w:name="_Toc313888363"/>
      <w:bookmarkStart w:id="130" w:name="_Toc25296"/>
      <w:bookmarkStart w:id="131" w:name="_Toc342913422"/>
      <w:bookmarkStart w:id="132" w:name="_Toc313008359"/>
      <w:r>
        <w:rPr>
          <w:rFonts w:hint="eastAsia" w:ascii="微软雅黑" w:hAnsi="微软雅黑" w:eastAsia="微软雅黑" w:cs="微软雅黑"/>
          <w:sz w:val="24"/>
          <w:szCs w:val="24"/>
        </w:rPr>
        <w:t>四、资格条件及其他</w:t>
      </w:r>
      <w:bookmarkEnd w:id="128"/>
      <w:bookmarkEnd w:id="129"/>
      <w:bookmarkEnd w:id="130"/>
      <w:bookmarkEnd w:id="131"/>
      <w:bookmarkEnd w:id="132"/>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widowControl/>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（二）法定代表人身份证明书（格式）</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比选项目名称：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（采购人名称）：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（法定代表人姓名）在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（职务名称）职务，是（供应商名称）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的法定代表人。</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特此证明。</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法定代表人电话：XXXXXXX      电子邮箱：XXXXXX@XXXXX（若授权他人办理并签署响应文件的可不填写）</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（附：法定代表人身份证正反面复印件）</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（三）法定代表人授权委托书（格式）</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比选项目名称：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（采购人名称）：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（供应商法定代表人名称）是</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（供应商名称）的法定代表人，特授权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我单位对被授权人的签字负全部责任。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被授权人：                                 供应商法定代表人：</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（签字或盖章）                                （签字或盖章）</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（附：被授权人身份证正反面复印件）</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ind w:right="480"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（供应商公章）</w:t>
      </w:r>
    </w:p>
    <w:p>
      <w:pPr>
        <w:tabs>
          <w:tab w:val="left" w:pos="6300"/>
        </w:tabs>
        <w:snapToGrid w:val="0"/>
        <w:spacing w:line="500" w:lineRule="exact"/>
        <w:ind w:right="480"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tabs>
          <w:tab w:val="left" w:pos="6300"/>
        </w:tabs>
        <w:snapToGrid w:val="0"/>
        <w:spacing w:line="500" w:lineRule="exact"/>
        <w:ind w:right="480"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被授权人电话：XXXXXXX     电子邮箱：XXXXXX@XXXXX（若法定代表人办理并签署响应文件的可不填写）</w:t>
      </w:r>
    </w:p>
    <w:p>
      <w:pPr>
        <w:tabs>
          <w:tab w:val="left" w:pos="6300"/>
        </w:tabs>
        <w:snapToGrid w:val="0"/>
        <w:spacing w:line="500" w:lineRule="exact"/>
        <w:ind w:right="480"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right="480"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若为法定代表人办理并签署响应文件的，不提供此文件。</w:t>
      </w:r>
    </w:p>
    <w:p>
      <w:pPr>
        <w:tabs>
          <w:tab w:val="left" w:pos="6300"/>
        </w:tabs>
        <w:snapToGrid w:val="0"/>
        <w:spacing w:line="500" w:lineRule="exact"/>
        <w:ind w:firstLine="570"/>
        <w:rPr>
          <w:rFonts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（四）基本资格条件承诺函（格式）</w:t>
      </w:r>
    </w:p>
    <w:p>
      <w:pPr>
        <w:tabs>
          <w:tab w:val="left" w:pos="6300"/>
        </w:tabs>
        <w:snapToGrid w:val="0"/>
        <w:spacing w:line="5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基本资格条件承诺函</w:t>
      </w:r>
    </w:p>
    <w:p>
      <w:pPr>
        <w:tabs>
          <w:tab w:val="left" w:pos="6300"/>
        </w:tabs>
        <w:snapToGrid w:val="0"/>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（投标人名称）郑重承诺：</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我方对以上承诺负全部法律责任。</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特此承诺。</w:t>
      </w:r>
    </w:p>
    <w:p>
      <w:pPr>
        <w:tabs>
          <w:tab w:val="left" w:pos="6300"/>
        </w:tabs>
        <w:snapToGrid w:val="0"/>
        <w:spacing w:line="500" w:lineRule="exact"/>
        <w:ind w:firstLine="480" w:firstLineChars="200"/>
        <w:rPr>
          <w:rFonts w:ascii="微软雅黑" w:hAnsi="微软雅黑" w:eastAsia="微软雅黑" w:cs="微软雅黑"/>
          <w:sz w:val="24"/>
          <w:szCs w:val="24"/>
        </w:rPr>
      </w:pPr>
    </w:p>
    <w:p>
      <w:pPr>
        <w:tabs>
          <w:tab w:val="left" w:pos="6300"/>
        </w:tabs>
        <w:snapToGrid w:val="0"/>
        <w:spacing w:line="500" w:lineRule="exact"/>
        <w:jc w:val="right"/>
        <w:rPr>
          <w:rFonts w:ascii="微软雅黑" w:hAnsi="微软雅黑" w:eastAsia="微软雅黑" w:cs="微软雅黑"/>
          <w:sz w:val="24"/>
          <w:szCs w:val="24"/>
        </w:rPr>
      </w:pPr>
      <w:r>
        <w:rPr>
          <w:rFonts w:hint="eastAsia" w:ascii="微软雅黑" w:hAnsi="微软雅黑" w:eastAsia="微软雅黑" w:cs="微软雅黑"/>
          <w:sz w:val="24"/>
          <w:szCs w:val="24"/>
        </w:rPr>
        <w:t>（投标人公章）</w:t>
      </w:r>
    </w:p>
    <w:p>
      <w:pPr>
        <w:tabs>
          <w:tab w:val="left" w:pos="6300"/>
        </w:tabs>
        <w:wordWrap w:val="0"/>
        <w:snapToGrid w:val="0"/>
        <w:spacing w:line="500" w:lineRule="exact"/>
        <w:jc w:val="right"/>
        <w:rPr>
          <w:rFonts w:ascii="微软雅黑" w:hAnsi="微软雅黑" w:eastAsia="微软雅黑" w:cs="微软雅黑"/>
          <w:sz w:val="24"/>
          <w:szCs w:val="24"/>
        </w:rPr>
      </w:pPr>
      <w:r>
        <w:rPr>
          <w:rFonts w:hint="eastAsia" w:ascii="微软雅黑" w:hAnsi="微软雅黑" w:eastAsia="微软雅黑" w:cs="微软雅黑"/>
          <w:sz w:val="24"/>
          <w:szCs w:val="24"/>
        </w:rPr>
        <w:t>年  月  日</w:t>
      </w:r>
    </w:p>
    <w:p>
      <w:pPr>
        <w:pStyle w:val="21"/>
        <w:ind w:left="630"/>
        <w:jc w:val="right"/>
        <w:rPr>
          <w:rFonts w:ascii="微软雅黑" w:hAnsi="微软雅黑" w:eastAsia="微软雅黑" w:cs="微软雅黑"/>
          <w:kern w:val="0"/>
        </w:rPr>
      </w:pP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（五）特定资格条件证书或证明文件</w:t>
      </w:r>
    </w:p>
    <w:p>
      <w:pPr>
        <w:tabs>
          <w:tab w:val="left" w:pos="6300"/>
        </w:tabs>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说明：供应商按“多证合一”登记制度办理营业执照的，税务登记证（副本）和社会保险登记证以供应商所提供的营业执照（副本）复印件为准。</w:t>
      </w:r>
    </w:p>
    <w:p>
      <w:pPr>
        <w:pStyle w:val="5"/>
        <w:snapToGrid w:val="0"/>
        <w:spacing w:line="5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br w:type="page"/>
      </w:r>
      <w:bookmarkStart w:id="133" w:name="_Toc14004"/>
      <w:r>
        <w:rPr>
          <w:rFonts w:hint="eastAsia" w:ascii="微软雅黑" w:hAnsi="微软雅黑" w:eastAsia="微软雅黑" w:cs="微软雅黑"/>
          <w:sz w:val="24"/>
          <w:szCs w:val="24"/>
        </w:rPr>
        <w:t>五、其他与项目有关的资料</w:t>
      </w:r>
      <w:bookmarkEnd w:id="133"/>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其他与项目有关的资料（自附）：供应商总体情况介绍、其他与本项目有关的资料等。</w:t>
      </w:r>
    </w:p>
    <w:p>
      <w:pPr>
        <w:spacing w:line="360" w:lineRule="auto"/>
        <w:ind w:firstLine="480" w:firstLineChars="200"/>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spacing w:line="360" w:lineRule="auto"/>
        <w:ind w:firstLine="480" w:firstLineChars="200"/>
        <w:jc w:val="center"/>
        <w:rPr>
          <w:rFonts w:ascii="微软雅黑" w:hAnsi="微软雅黑" w:eastAsia="微软雅黑" w:cs="微软雅黑"/>
          <w:sz w:val="24"/>
          <w:szCs w:val="24"/>
        </w:rPr>
      </w:pPr>
    </w:p>
    <w:p>
      <w:pPr>
        <w:jc w:val="left"/>
        <w:rPr>
          <w:rFonts w:ascii="微软雅黑" w:hAnsi="微软雅黑" w:eastAsia="微软雅黑" w:cs="微软雅黑"/>
          <w:sz w:val="24"/>
          <w:szCs w:val="24"/>
        </w:rPr>
      </w:pPr>
      <w:r>
        <w:rPr>
          <w:rFonts w:hint="eastAsia" w:ascii="微软雅黑" w:hAnsi="微软雅黑" w:eastAsia="微软雅黑" w:cs="微软雅黑"/>
          <w:sz w:val="24"/>
          <w:szCs w:val="24"/>
        </w:rPr>
        <w:br w:type="page"/>
      </w:r>
    </w:p>
    <w:p>
      <w:pPr>
        <w:spacing w:line="500" w:lineRule="exact"/>
        <w:jc w:val="center"/>
        <w:rPr>
          <w:rFonts w:ascii="微软雅黑" w:hAnsi="微软雅黑" w:eastAsia="微软雅黑" w:cs="微软雅黑"/>
          <w:sz w:val="32"/>
          <w:szCs w:val="32"/>
        </w:rPr>
      </w:pPr>
      <w:r>
        <w:rPr>
          <w:rFonts w:hint="eastAsia" w:ascii="微软雅黑" w:hAnsi="微软雅黑" w:eastAsia="微软雅黑" w:cs="微软雅黑"/>
          <w:sz w:val="32"/>
          <w:szCs w:val="32"/>
        </w:rPr>
        <w:t>采购文件发售登记表</w:t>
      </w:r>
    </w:p>
    <w:p>
      <w:pPr>
        <w:spacing w:line="500" w:lineRule="exact"/>
        <w:ind w:firstLine="640" w:firstLineChars="200"/>
        <w:jc w:val="center"/>
        <w:rPr>
          <w:rFonts w:ascii="微软雅黑" w:hAnsi="微软雅黑" w:eastAsia="微软雅黑" w:cs="微软雅黑"/>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267"/>
        <w:gridCol w:w="1400"/>
        <w:gridCol w:w="7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项目号</w:t>
            </w:r>
          </w:p>
        </w:tc>
        <w:tc>
          <w:tcPr>
            <w:tcW w:w="2267" w:type="dxa"/>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400" w:type="dxa"/>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项目</w:t>
            </w:r>
          </w:p>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3243" w:type="dxa"/>
            <w:gridSpan w:val="2"/>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供应商名称</w:t>
            </w:r>
          </w:p>
        </w:tc>
        <w:tc>
          <w:tcPr>
            <w:tcW w:w="6910" w:type="dxa"/>
            <w:gridSpan w:val="4"/>
            <w:vAlign w:val="center"/>
          </w:tcPr>
          <w:p>
            <w:pPr>
              <w:spacing w:line="500" w:lineRule="exact"/>
              <w:ind w:firstLine="480" w:firstLineChars="200"/>
              <w:jc w:val="right"/>
              <w:rPr>
                <w:rFonts w:ascii="微软雅黑" w:hAnsi="微软雅黑" w:eastAsia="微软雅黑" w:cs="微软雅黑"/>
                <w:sz w:val="24"/>
                <w:szCs w:val="24"/>
              </w:rPr>
            </w:pPr>
            <w:r>
              <w:rPr>
                <w:rFonts w:hint="eastAsia" w:ascii="微软雅黑" w:hAnsi="微软雅黑" w:eastAsia="微软雅黑" w:cs="微软雅黑"/>
                <w:sz w:val="24"/>
                <w:szCs w:val="24"/>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供应商地址</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联系人</w:t>
            </w:r>
          </w:p>
        </w:tc>
        <w:tc>
          <w:tcPr>
            <w:tcW w:w="2267" w:type="dxa"/>
            <w:vAlign w:val="center"/>
          </w:tcPr>
          <w:p>
            <w:pPr>
              <w:spacing w:line="500" w:lineRule="exact"/>
              <w:ind w:firstLine="480" w:firstLineChars="200"/>
              <w:jc w:val="left"/>
              <w:rPr>
                <w:rFonts w:ascii="微软雅黑" w:hAnsi="微软雅黑" w:eastAsia="微软雅黑" w:cs="微软雅黑"/>
                <w:sz w:val="24"/>
                <w:szCs w:val="24"/>
              </w:rPr>
            </w:pPr>
          </w:p>
        </w:tc>
        <w:tc>
          <w:tcPr>
            <w:tcW w:w="1472" w:type="dxa"/>
            <w:gridSpan w:val="2"/>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手机</w:t>
            </w:r>
          </w:p>
        </w:tc>
        <w:tc>
          <w:tcPr>
            <w:tcW w:w="3171" w:type="dxa"/>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办公电话</w:t>
            </w:r>
          </w:p>
        </w:tc>
        <w:tc>
          <w:tcPr>
            <w:tcW w:w="2267" w:type="dxa"/>
            <w:vAlign w:val="center"/>
          </w:tcPr>
          <w:p>
            <w:pPr>
              <w:spacing w:line="500" w:lineRule="exact"/>
              <w:ind w:firstLine="480" w:firstLineChars="200"/>
              <w:jc w:val="left"/>
              <w:rPr>
                <w:rFonts w:ascii="微软雅黑" w:hAnsi="微软雅黑" w:eastAsia="微软雅黑" w:cs="微软雅黑"/>
                <w:sz w:val="24"/>
                <w:szCs w:val="24"/>
              </w:rPr>
            </w:pPr>
          </w:p>
        </w:tc>
        <w:tc>
          <w:tcPr>
            <w:tcW w:w="1472" w:type="dxa"/>
            <w:gridSpan w:val="2"/>
            <w:vAlign w:val="center"/>
          </w:tcPr>
          <w:p>
            <w:pPr>
              <w:spacing w:line="500" w:lineRule="exac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传真</w:t>
            </w:r>
          </w:p>
        </w:tc>
        <w:tc>
          <w:tcPr>
            <w:tcW w:w="3171" w:type="dxa"/>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E-mail</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购买时间</w:t>
            </w:r>
          </w:p>
        </w:tc>
        <w:tc>
          <w:tcPr>
            <w:tcW w:w="6910" w:type="dxa"/>
            <w:gridSpan w:val="4"/>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810" w:type="dxa"/>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比选文件售价</w:t>
            </w:r>
          </w:p>
        </w:tc>
        <w:tc>
          <w:tcPr>
            <w:tcW w:w="6910" w:type="dxa"/>
            <w:gridSpan w:val="4"/>
            <w:vAlign w:val="center"/>
          </w:tcPr>
          <w:p>
            <w:pPr>
              <w:spacing w:line="500" w:lineRule="exact"/>
              <w:jc w:val="center"/>
              <w:rPr>
                <w:rFonts w:ascii="微软雅黑" w:hAnsi="微软雅黑" w:eastAsia="微软雅黑" w:cs="微软雅黑"/>
                <w:sz w:val="24"/>
                <w:szCs w:val="24"/>
              </w:rPr>
            </w:pPr>
            <w:r>
              <w:rPr>
                <w:rFonts w:hint="eastAsia" w:ascii="微软雅黑" w:hAnsi="微软雅黑" w:eastAsia="微软雅黑" w:cs="微软雅黑"/>
                <w:sz w:val="24"/>
                <w:szCs w:val="24"/>
              </w:rPr>
              <w:t>人民币：300元/份（售后不退）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1810" w:type="dxa"/>
            <w:vAlign w:val="center"/>
          </w:tcPr>
          <w:p>
            <w:pPr>
              <w:spacing w:line="500" w:lineRule="exact"/>
              <w:ind w:firstLine="480" w:firstLineChars="200"/>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c>
          <w:tcPr>
            <w:tcW w:w="6910" w:type="dxa"/>
            <w:gridSpan w:val="4"/>
            <w:vAlign w:val="center"/>
          </w:tcPr>
          <w:p>
            <w:pPr>
              <w:spacing w:line="500" w:lineRule="exact"/>
              <w:ind w:firstLine="480" w:firstLineChars="200"/>
              <w:jc w:val="left"/>
              <w:rPr>
                <w:rFonts w:ascii="微软雅黑" w:hAnsi="微软雅黑" w:eastAsia="微软雅黑" w:cs="微软雅黑"/>
                <w:sz w:val="24"/>
                <w:szCs w:val="24"/>
              </w:rPr>
            </w:pPr>
          </w:p>
        </w:tc>
      </w:tr>
    </w:tbl>
    <w:p>
      <w:pPr>
        <w:spacing w:line="500" w:lineRule="exact"/>
        <w:ind w:firstLine="480" w:firstLineChars="200"/>
        <w:rPr>
          <w:rFonts w:ascii="微软雅黑" w:hAnsi="微软雅黑" w:eastAsia="微软雅黑" w:cs="微软雅黑"/>
          <w:sz w:val="24"/>
          <w:szCs w:val="24"/>
        </w:rPr>
      </w:pPr>
    </w:p>
    <w:p>
      <w:pPr>
        <w:spacing w:line="500" w:lineRule="exact"/>
        <w:ind w:firstLine="480" w:firstLineChars="200"/>
        <w:jc w:val="center"/>
        <w:rPr>
          <w:rFonts w:ascii="微软雅黑" w:hAnsi="微软雅黑" w:eastAsia="微软雅黑" w:cs="微软雅黑"/>
          <w:sz w:val="24"/>
          <w:szCs w:val="24"/>
        </w:rPr>
      </w:pPr>
    </w:p>
    <w:p>
      <w:pPr>
        <w:jc w:val="center"/>
        <w:rPr>
          <w:rFonts w:ascii="微软雅黑" w:hAnsi="微软雅黑" w:eastAsia="微软雅黑" w:cs="微软雅黑"/>
        </w:rPr>
      </w:pPr>
      <w:r>
        <w:rPr>
          <w:rFonts w:ascii="微软雅黑" w:hAnsi="微软雅黑" w:eastAsia="微软雅黑" w:cs="微软雅黑"/>
          <w:sz w:val="24"/>
          <w:szCs w:val="24"/>
        </w:rPr>
        <w:t>（结束）</w:t>
      </w:r>
    </w:p>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- 16 -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重庆市会展服务中心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重庆市会展服务中心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MzJkOGUzY2M0NGYyZTFhYWMxMTdiYTFlMGZmNTEifQ=="/>
  </w:docVars>
  <w:rsids>
    <w:rsidRoot w:val="00172A27"/>
    <w:rsid w:val="00092EBA"/>
    <w:rsid w:val="00126A30"/>
    <w:rsid w:val="00172A27"/>
    <w:rsid w:val="001E56C7"/>
    <w:rsid w:val="00300C87"/>
    <w:rsid w:val="00472F21"/>
    <w:rsid w:val="00624920"/>
    <w:rsid w:val="006B6673"/>
    <w:rsid w:val="00916EAB"/>
    <w:rsid w:val="00A45AA4"/>
    <w:rsid w:val="00B10EF1"/>
    <w:rsid w:val="00B3683B"/>
    <w:rsid w:val="00BE11EB"/>
    <w:rsid w:val="00C62129"/>
    <w:rsid w:val="00F10430"/>
    <w:rsid w:val="00F51E49"/>
    <w:rsid w:val="02265697"/>
    <w:rsid w:val="04B66EAC"/>
    <w:rsid w:val="087A397A"/>
    <w:rsid w:val="099D53F0"/>
    <w:rsid w:val="09C8201A"/>
    <w:rsid w:val="0FC8173F"/>
    <w:rsid w:val="1024184A"/>
    <w:rsid w:val="14C8795A"/>
    <w:rsid w:val="194A4B48"/>
    <w:rsid w:val="1A546D31"/>
    <w:rsid w:val="1B9C027D"/>
    <w:rsid w:val="1BF2117B"/>
    <w:rsid w:val="1F34302A"/>
    <w:rsid w:val="203F775B"/>
    <w:rsid w:val="21451AE6"/>
    <w:rsid w:val="21DA1AFF"/>
    <w:rsid w:val="24084C14"/>
    <w:rsid w:val="243F6582"/>
    <w:rsid w:val="25A95A70"/>
    <w:rsid w:val="28920A3E"/>
    <w:rsid w:val="292B6F8D"/>
    <w:rsid w:val="2BFD76DA"/>
    <w:rsid w:val="2CCB676A"/>
    <w:rsid w:val="2F8E0571"/>
    <w:rsid w:val="33182B1E"/>
    <w:rsid w:val="33C41906"/>
    <w:rsid w:val="38F84695"/>
    <w:rsid w:val="39EA50D4"/>
    <w:rsid w:val="3D5C2359"/>
    <w:rsid w:val="477D30A1"/>
    <w:rsid w:val="4A607374"/>
    <w:rsid w:val="4DA61BB2"/>
    <w:rsid w:val="4F6B57BA"/>
    <w:rsid w:val="4FAE1D52"/>
    <w:rsid w:val="50F23EC9"/>
    <w:rsid w:val="528F0A0D"/>
    <w:rsid w:val="54BB04A1"/>
    <w:rsid w:val="56617B1E"/>
    <w:rsid w:val="579C1996"/>
    <w:rsid w:val="58CB424B"/>
    <w:rsid w:val="60386C33"/>
    <w:rsid w:val="638E7A78"/>
    <w:rsid w:val="6511735D"/>
    <w:rsid w:val="6707201B"/>
    <w:rsid w:val="68D63115"/>
    <w:rsid w:val="6A2C0757"/>
    <w:rsid w:val="6B145F41"/>
    <w:rsid w:val="6B6619FD"/>
    <w:rsid w:val="6FD66A2F"/>
    <w:rsid w:val="70E1335E"/>
    <w:rsid w:val="730B56A4"/>
    <w:rsid w:val="78E95682"/>
    <w:rsid w:val="7B92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link w:val="23"/>
    <w:semiHidden/>
    <w:unhideWhenUsed/>
    <w:qFormat/>
    <w:uiPriority w:val="0"/>
    <w:pPr>
      <w:keepNext/>
      <w:keepLines/>
      <w:spacing w:before="260" w:after="260" w:line="600" w:lineRule="exact"/>
      <w:ind w:firstLine="880" w:firstLineChars="200"/>
      <w:jc w:val="left"/>
      <w:outlineLvl w:val="1"/>
    </w:pPr>
    <w:rPr>
      <w:rFonts w:ascii="Arial" w:hAnsi="Arial" w:eastAsia="方正楷体_GBK"/>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6">
    <w:name w:val="Body Text"/>
    <w:basedOn w:val="1"/>
    <w:next w:val="7"/>
    <w:qFormat/>
    <w:uiPriority w:val="0"/>
    <w:rPr>
      <w:rFonts w:ascii="仿宋_GB2312" w:eastAsia="仿宋_GB2312"/>
      <w:sz w:val="32"/>
    </w:rPr>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2"/>
    <w:basedOn w:val="1"/>
    <w:next w:val="1"/>
    <w:qFormat/>
    <w:uiPriority w:val="0"/>
    <w:pPr>
      <w:ind w:left="420" w:leftChars="200"/>
    </w:pPr>
  </w:style>
  <w:style w:type="paragraph" w:styleId="16">
    <w:name w:val="Body Text First Indent 2"/>
    <w:basedOn w:val="8"/>
    <w:next w:val="1"/>
    <w:qFormat/>
    <w:uiPriority w:val="99"/>
    <w:pPr>
      <w:spacing w:after="120" w:line="240" w:lineRule="auto"/>
      <w:ind w:left="420" w:leftChars="200" w:firstLine="420" w:firstLineChars="200"/>
    </w:pPr>
  </w:style>
  <w:style w:type="character" w:styleId="19">
    <w:name w:val="page number"/>
    <w:basedOn w:val="18"/>
    <w:qFormat/>
    <w:uiPriority w:val="0"/>
  </w:style>
  <w:style w:type="paragraph" w:customStyle="1" w:styleId="20">
    <w:name w:val="1"/>
    <w:basedOn w:val="1"/>
    <w:next w:val="10"/>
    <w:qFormat/>
    <w:uiPriority w:val="0"/>
    <w:rPr>
      <w:rFonts w:ascii="宋体" w:hAnsi="Courier New"/>
      <w:sz w:val="21"/>
    </w:rPr>
  </w:style>
  <w:style w:type="paragraph" w:customStyle="1" w:styleId="21">
    <w:name w:val="1.正文"/>
    <w:basedOn w:val="1"/>
    <w:qFormat/>
    <w:uiPriority w:val="0"/>
    <w:pPr>
      <w:spacing w:line="360" w:lineRule="auto"/>
      <w:ind w:left="540" w:leftChars="225" w:firstLine="540" w:firstLineChars="225"/>
    </w:pPr>
    <w:rPr>
      <w:sz w:val="24"/>
    </w:rPr>
  </w:style>
  <w:style w:type="paragraph" w:customStyle="1" w:styleId="22">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3">
    <w:name w:val="标题 2 字符"/>
    <w:link w:val="4"/>
    <w:qFormat/>
    <w:uiPriority w:val="0"/>
    <w:rPr>
      <w:rFonts w:ascii="Arial" w:hAnsi="Arial" w:eastAsia="方正楷体_GBK"/>
      <w:sz w:val="32"/>
    </w:rPr>
  </w:style>
  <w:style w:type="paragraph" w:customStyle="1" w:styleId="24">
    <w:name w:val="标准正文"/>
    <w:basedOn w:val="8"/>
    <w:qFormat/>
    <w:uiPriority w:val="0"/>
    <w:pPr>
      <w:spacing w:before="60" w:after="6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11821</Words>
  <Characters>12325</Characters>
  <Lines>116</Lines>
  <Paragraphs>32</Paragraphs>
  <TotalTime>5</TotalTime>
  <ScaleCrop>false</ScaleCrop>
  <LinksUpToDate>false</LinksUpToDate>
  <CharactersWithSpaces>13451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2023-08-24T10:25:00Z</dcterms:created>
  <dc:creator>小脚33</dc:creator>
  <cp:lastModifiedBy>游来游去的鱼</cp:lastModifiedBy>
  <dcterms:modified xsi:type="dcterms:W3CDTF">2023-08-25T09:10:14Z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FD2937DF2F2C448B85B85CB42B4FA07F_13</vt:lpwstr>
  </property>
</Properties>
</file>